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6838" w:rsidRPr="00863CCE" w:rsidRDefault="00D9683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70"/>
      <w:r w:rsidRPr="00863CCE">
        <w:rPr>
          <w:rFonts w:ascii="Keren" w:eastAsia="Times New Roman" w:hAnsi="Keren" w:cs="David"/>
          <w:b/>
          <w:bCs/>
          <w:sz w:val="26"/>
          <w:szCs w:val="24"/>
          <w:rtl/>
          <w:lang w:eastAsia="he-IL"/>
          <w14:ligatures w14:val="none"/>
        </w:rPr>
        <w:t>בית הקברות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הקברות:ערך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96838" w:rsidRPr="00863CCE" w:rsidRDefault="00D96838"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lang w:eastAsia="he-IL"/>
          <w14:ligatures w14:val="none"/>
        </w:rPr>
        <w:t>מקום קבוע לקבורת המתים.</w:t>
      </w:r>
      <w:r w:rsidRPr="00863CCE">
        <w:rPr>
          <w:rFonts w:ascii="Keren" w:eastAsia="Times New Roman" w:hAnsi="Keren" w:cs="David"/>
          <w:szCs w:val="20"/>
          <w:rtl/>
          <w14:ligatures w14:val="none"/>
        </w:rPr>
        <w:t xml:space="preserve"> נקרא גם "</w:t>
      </w:r>
      <w:r w:rsidRPr="00863CCE">
        <w:rPr>
          <w:rFonts w:ascii="Keren" w:eastAsia="Times New Roman" w:hAnsi="Keren" w:cs="David"/>
          <w:b/>
          <w:bCs/>
          <w:szCs w:val="20"/>
          <w:rtl/>
          <w14:ligatures w14:val="none"/>
        </w:rPr>
        <w:t>בית מועד לכל חי</w:t>
      </w:r>
      <w:r w:rsidRPr="00863CCE">
        <w:rPr>
          <w:rFonts w:ascii="Keren" w:eastAsia="Times New Roman" w:hAnsi="Keren" w:cs="David"/>
          <w:szCs w:val="20"/>
          <w:rtl/>
          <w14:ligatures w14:val="none"/>
        </w:rPr>
        <w:t>" (על פי איוב ל, כג), ובשם "בית עולם" (על פי קהלת יב, ח), ובלשון חז"ל נקרא "</w:t>
      </w:r>
      <w:r w:rsidRPr="00863CCE">
        <w:rPr>
          <w:rFonts w:ascii="Keren" w:eastAsia="Times New Roman" w:hAnsi="Keren" w:cs="David"/>
          <w:b/>
          <w:bCs/>
          <w:szCs w:val="20"/>
          <w:rtl/>
          <w14:ligatures w14:val="none"/>
        </w:rPr>
        <w:t>בית עלמין</w:t>
      </w:r>
      <w:r w:rsidRPr="00863CCE">
        <w:rPr>
          <w:rFonts w:ascii="Keren" w:eastAsia="Times New Roman" w:hAnsi="Keren" w:cs="David"/>
          <w:szCs w:val="20"/>
          <w:rtl/>
          <w14:ligatures w14:val="none"/>
        </w:rPr>
        <w:t xml:space="preserve">" (למשל בסנהדרין יט). נקרא גם בשם "בית החיים" על שם מעבר החיים ממצב למשנהו. </w:t>
      </w:r>
    </w:p>
    <w:p w:rsidR="00D96838" w:rsidRPr="00863CCE" w:rsidRDefault="00D9683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14:ligatures w14:val="none"/>
        </w:rPr>
        <w:t xml:space="preserve">יש כללים למיקום בית הקברות ולהתנהגות בתוכו. </w:t>
      </w:r>
      <w:r w:rsidRPr="00863CCE">
        <w:rPr>
          <w:rFonts w:ascii="Keren" w:eastAsia="Times New Roman" w:hAnsi="Keren" w:cs="David"/>
          <w:szCs w:val="20"/>
          <w:rtl/>
          <w:lang w:eastAsia="he-IL"/>
          <w14:ligatures w14:val="none"/>
        </w:rPr>
        <w:t xml:space="preserve">היו מרחיקים את בית הקברות מחוץ לעיר חמשים אמה (משנה בבא בתרא ב, ט; שלחן ערוך </w:t>
      </w:r>
      <w:r w:rsidRPr="00863CCE">
        <w:rPr>
          <w:rFonts w:ascii="Times New Roman" w:eastAsia="Times New Roman" w:hAnsi="Times New Roman" w:cs="David"/>
          <w:color w:val="000000"/>
          <w:szCs w:val="20"/>
          <w:rtl/>
          <w:lang w:eastAsia="he-IL"/>
          <w14:ligatures w14:val="none"/>
        </w:rPr>
        <w:t>יורה דעה סימן</w:t>
      </w:r>
      <w:r w:rsidRPr="00863CCE">
        <w:rPr>
          <w:rFonts w:ascii="Keren" w:eastAsia="Times New Roman" w:hAnsi="Keren" w:cs="David"/>
          <w:szCs w:val="20"/>
          <w:rtl/>
          <w:lang w:eastAsia="he-IL"/>
          <w14:ligatures w14:val="none"/>
        </w:rPr>
        <w:t xml:space="preserve"> שסה, ב). אין נוהגים קלות ראש בבית הקברות (שלחן ערוך יורה דעה סימן שסח). לא יהלך אדם בבית הקברות ותפילין בראשו וספר תורה בזרועו מפני שהוא </w:t>
      </w:r>
      <w:r w:rsidRPr="00863CCE">
        <w:rPr>
          <w:rFonts w:ascii="Keren" w:eastAsia="Times New Roman" w:hAnsi="Keren" w:cs="David"/>
          <w:b/>
          <w:bCs/>
          <w:szCs w:val="20"/>
          <w:rtl/>
          <w:lang w:eastAsia="he-IL"/>
          <w14:ligatures w14:val="none"/>
        </w:rPr>
        <w:t>לועג לרש</w:t>
      </w:r>
      <w:r w:rsidRPr="00863CCE">
        <w:rPr>
          <w:rFonts w:ascii="Keren" w:eastAsia="Times New Roman" w:hAnsi="Keren" w:cs="David"/>
          <w:szCs w:val="20"/>
          <w:rtl/>
          <w:lang w:eastAsia="he-IL"/>
          <w14:ligatures w14:val="none"/>
        </w:rPr>
        <w:t xml:space="preserve"> (שלחן ערוך שם סימן שסז, ב – ג)</w:t>
      </w:r>
      <w:r w:rsidRPr="00863CCE">
        <w:rPr>
          <w:rFonts w:ascii="Keren" w:eastAsia="Times New Roman" w:hAnsi="Keren" w:cs="David"/>
          <w:b/>
          <w:bCs/>
          <w:szCs w:val="20"/>
          <w:rtl/>
          <w:lang w:eastAsia="he-IL"/>
          <w14:ligatures w14:val="none"/>
        </w:rPr>
        <w:t>.</w:t>
      </w:r>
      <w:r w:rsidRPr="00863CCE">
        <w:rPr>
          <w:rFonts w:ascii="Keren" w:eastAsia="Times New Roman" w:hAnsi="Keren" w:cs="David"/>
          <w:szCs w:val="20"/>
          <w:rtl/>
          <w:lang w:eastAsia="he-IL"/>
          <w14:ligatures w14:val="none"/>
        </w:rPr>
        <w:t xml:space="preserve"> הנכנס לבית הקברות לאחר שלושים יום מברך </w:t>
      </w:r>
      <w:r w:rsidRPr="00863CCE">
        <w:rPr>
          <w:rFonts w:ascii="Keren" w:eastAsia="Times New Roman" w:hAnsi="Keren" w:cs="David"/>
          <w:b/>
          <w:bCs/>
          <w:szCs w:val="20"/>
          <w:rtl/>
          <w:lang w:eastAsia="he-IL"/>
          <w14:ligatures w14:val="none"/>
        </w:rPr>
        <w:t>ברכת אשר יצר אתכם בדין.</w:t>
      </w:r>
      <w:r w:rsidRPr="00863CCE">
        <w:rPr>
          <w:rFonts w:ascii="Keren" w:eastAsia="Times New Roman" w:hAnsi="Keren" w:cs="David"/>
          <w:szCs w:val="20"/>
          <w:rtl/>
          <w:lang w:eastAsia="he-IL"/>
          <w14:ligatures w14:val="none"/>
        </w:rPr>
        <w:t xml:space="preserve"> בבית הקברות יש </w:t>
      </w:r>
      <w:r w:rsidRPr="00863CCE">
        <w:rPr>
          <w:rFonts w:ascii="Keren" w:eastAsia="Times New Roman" w:hAnsi="Keren" w:cs="David"/>
          <w:b/>
          <w:bCs/>
          <w:szCs w:val="20"/>
          <w:rtl/>
          <w:lang w:eastAsia="he-IL"/>
          <w14:ligatures w14:val="none"/>
        </w:rPr>
        <w:t>טומאה</w:t>
      </w:r>
      <w:r w:rsidRPr="00863CCE">
        <w:rPr>
          <w:rFonts w:ascii="Keren" w:eastAsia="Times New Roman" w:hAnsi="Keren" w:cs="David"/>
          <w:szCs w:val="20"/>
          <w:rtl/>
          <w:lang w:eastAsia="he-IL"/>
          <w14:ligatures w14:val="none"/>
        </w:rPr>
        <w:t xml:space="preserve"> ולכן אסור לכהן להיכנס שם אלא רק ל</w:t>
      </w:r>
      <w:r w:rsidRPr="00863CCE">
        <w:rPr>
          <w:rFonts w:ascii="Keren" w:eastAsia="Times New Roman" w:hAnsi="Keren" w:cs="David"/>
          <w:b/>
          <w:bCs/>
          <w:szCs w:val="20"/>
          <w:rtl/>
          <w:lang w:eastAsia="he-IL"/>
          <w14:ligatures w14:val="none"/>
        </w:rPr>
        <w:t>שבעה קרובים.</w:t>
      </w:r>
      <w:r w:rsidRPr="00863CCE">
        <w:rPr>
          <w:rFonts w:ascii="Keren" w:eastAsia="Times New Roman" w:hAnsi="Keren" w:cs="David"/>
          <w:szCs w:val="20"/>
          <w:rtl/>
          <w:lang w:eastAsia="he-IL"/>
          <w14:ligatures w14:val="none"/>
        </w:rPr>
        <w:t xml:space="preserve"> בימים שהיו גוזרים תענית על הציבור היו יוצאים לבית הקברות, כלומר הרי אנו חשובים לפניך כמתים, או כדי שיבקשו עלינו המתים רחמים. (תענית טז). כשמבקשים מהמתים שיבקשו עלינו רחמים, צריך להיזהר שלא להיות דורש אל המתים. </w:t>
      </w:r>
    </w:p>
    <w:p w:rsidR="00D5072B" w:rsidRDefault="00D96838">
      <w:r w:rsidRPr="00863CCE">
        <w:rPr>
          <w:rFonts w:ascii="Keren" w:eastAsia="Times New Roman" w:hAnsi="Keren" w:cs="David"/>
          <w:szCs w:val="20"/>
          <w:rtl/>
          <w:lang w:eastAsia="he-IL"/>
          <w14:ligatures w14:val="none"/>
        </w:rPr>
        <w:t xml:space="preserve">נהגו להשתטח על </w:t>
      </w:r>
      <w:r w:rsidRPr="00863CCE">
        <w:rPr>
          <w:rFonts w:ascii="Keren" w:eastAsia="Times New Roman" w:hAnsi="Keren" w:cs="David"/>
          <w:b/>
          <w:bCs/>
          <w:szCs w:val="20"/>
          <w:rtl/>
          <w:lang w:eastAsia="he-IL"/>
          <w14:ligatures w14:val="none"/>
        </w:rPr>
        <w:t xml:space="preserve">קברי אבות. </w:t>
      </w:r>
      <w:r w:rsidRPr="00863CCE">
        <w:rPr>
          <w:rFonts w:ascii="Keren" w:eastAsia="Times New Roman" w:hAnsi="Keren" w:cs="David"/>
          <w:szCs w:val="20"/>
          <w:rtl/>
          <w:lang w:eastAsia="he-IL"/>
          <w14:ligatures w14:val="none"/>
        </w:rPr>
        <w:t xml:space="preserve">נהגו לעלות לבית הקברות בתשעה באב ובחודש אלול ובעשרת ימי תשובה, ובפרט בערב ראש השנה וערב יום הכפורים, ומרבים בתחינות ונותנים שם צדקה לעניים. ע"ע </w:t>
      </w:r>
      <w:r w:rsidRPr="00863CCE">
        <w:rPr>
          <w:rFonts w:ascii="Keren" w:eastAsia="Times New Roman" w:hAnsi="Keren" w:cs="David"/>
          <w:b/>
          <w:bCs/>
          <w:szCs w:val="20"/>
          <w:rtl/>
          <w:lang w:eastAsia="he-IL"/>
          <w14:ligatures w14:val="none"/>
        </w:rPr>
        <w:t xml:space="preserve">בית מועד לכל חי. ברכת אשר יצר אתכם בדין. טומאה. לועג לרש. קברי אבות.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838"/>
    <w:rsid w:val="000D0A23"/>
    <w:rsid w:val="002C1211"/>
    <w:rsid w:val="005C4B14"/>
    <w:rsid w:val="00AA7185"/>
    <w:rsid w:val="00B22A00"/>
    <w:rsid w:val="00D5072B"/>
    <w:rsid w:val="00D968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D4416A-40EC-41EB-8033-8DAD3AAF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6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96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968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968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968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68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68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68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68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9683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9683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9683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96838"/>
    <w:rPr>
      <w:rFonts w:eastAsiaTheme="majorEastAsia" w:cstheme="majorBidi"/>
      <w:i/>
      <w:iCs/>
      <w:color w:val="0F4761" w:themeColor="accent1" w:themeShade="BF"/>
    </w:rPr>
  </w:style>
  <w:style w:type="character" w:customStyle="1" w:styleId="50">
    <w:name w:val="כותרת 5 תו"/>
    <w:basedOn w:val="a0"/>
    <w:link w:val="5"/>
    <w:uiPriority w:val="9"/>
    <w:semiHidden/>
    <w:rsid w:val="00D96838"/>
    <w:rPr>
      <w:rFonts w:eastAsiaTheme="majorEastAsia" w:cstheme="majorBidi"/>
      <w:color w:val="0F4761" w:themeColor="accent1" w:themeShade="BF"/>
    </w:rPr>
  </w:style>
  <w:style w:type="character" w:customStyle="1" w:styleId="60">
    <w:name w:val="כותרת 6 תו"/>
    <w:basedOn w:val="a0"/>
    <w:link w:val="6"/>
    <w:uiPriority w:val="9"/>
    <w:semiHidden/>
    <w:rsid w:val="00D96838"/>
    <w:rPr>
      <w:rFonts w:eastAsiaTheme="majorEastAsia" w:cstheme="majorBidi"/>
      <w:i/>
      <w:iCs/>
      <w:color w:val="595959" w:themeColor="text1" w:themeTint="A6"/>
    </w:rPr>
  </w:style>
  <w:style w:type="character" w:customStyle="1" w:styleId="70">
    <w:name w:val="כותרת 7 תו"/>
    <w:basedOn w:val="a0"/>
    <w:link w:val="7"/>
    <w:uiPriority w:val="9"/>
    <w:semiHidden/>
    <w:rsid w:val="00D96838"/>
    <w:rPr>
      <w:rFonts w:eastAsiaTheme="majorEastAsia" w:cstheme="majorBidi"/>
      <w:color w:val="595959" w:themeColor="text1" w:themeTint="A6"/>
    </w:rPr>
  </w:style>
  <w:style w:type="character" w:customStyle="1" w:styleId="80">
    <w:name w:val="כותרת 8 תו"/>
    <w:basedOn w:val="a0"/>
    <w:link w:val="8"/>
    <w:uiPriority w:val="9"/>
    <w:semiHidden/>
    <w:rsid w:val="00D96838"/>
    <w:rPr>
      <w:rFonts w:eastAsiaTheme="majorEastAsia" w:cstheme="majorBidi"/>
      <w:i/>
      <w:iCs/>
      <w:color w:val="272727" w:themeColor="text1" w:themeTint="D8"/>
    </w:rPr>
  </w:style>
  <w:style w:type="character" w:customStyle="1" w:styleId="90">
    <w:name w:val="כותרת 9 תו"/>
    <w:basedOn w:val="a0"/>
    <w:link w:val="9"/>
    <w:uiPriority w:val="9"/>
    <w:semiHidden/>
    <w:rsid w:val="00D96838"/>
    <w:rPr>
      <w:rFonts w:eastAsiaTheme="majorEastAsia" w:cstheme="majorBidi"/>
      <w:color w:val="272727" w:themeColor="text1" w:themeTint="D8"/>
    </w:rPr>
  </w:style>
  <w:style w:type="paragraph" w:styleId="a3">
    <w:name w:val="Title"/>
    <w:basedOn w:val="a"/>
    <w:next w:val="a"/>
    <w:link w:val="a4"/>
    <w:uiPriority w:val="10"/>
    <w:qFormat/>
    <w:rsid w:val="00D96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968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683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968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96838"/>
    <w:pPr>
      <w:spacing w:before="160"/>
      <w:jc w:val="center"/>
    </w:pPr>
    <w:rPr>
      <w:i/>
      <w:iCs/>
      <w:color w:val="404040" w:themeColor="text1" w:themeTint="BF"/>
    </w:rPr>
  </w:style>
  <w:style w:type="character" w:customStyle="1" w:styleId="a8">
    <w:name w:val="ציטוט תו"/>
    <w:basedOn w:val="a0"/>
    <w:link w:val="a7"/>
    <w:uiPriority w:val="29"/>
    <w:rsid w:val="00D96838"/>
    <w:rPr>
      <w:i/>
      <w:iCs/>
      <w:color w:val="404040" w:themeColor="text1" w:themeTint="BF"/>
    </w:rPr>
  </w:style>
  <w:style w:type="paragraph" w:styleId="a9">
    <w:name w:val="List Paragraph"/>
    <w:basedOn w:val="a"/>
    <w:uiPriority w:val="34"/>
    <w:qFormat/>
    <w:rsid w:val="00D96838"/>
    <w:pPr>
      <w:ind w:left="720"/>
      <w:contextualSpacing/>
    </w:pPr>
  </w:style>
  <w:style w:type="character" w:styleId="aa">
    <w:name w:val="Intense Emphasis"/>
    <w:basedOn w:val="a0"/>
    <w:uiPriority w:val="21"/>
    <w:qFormat/>
    <w:rsid w:val="00D96838"/>
    <w:rPr>
      <w:i/>
      <w:iCs/>
      <w:color w:val="0F4761" w:themeColor="accent1" w:themeShade="BF"/>
    </w:rPr>
  </w:style>
  <w:style w:type="paragraph" w:styleId="ab">
    <w:name w:val="Intense Quote"/>
    <w:basedOn w:val="a"/>
    <w:next w:val="a"/>
    <w:link w:val="ac"/>
    <w:uiPriority w:val="30"/>
    <w:qFormat/>
    <w:rsid w:val="00D96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96838"/>
    <w:rPr>
      <w:i/>
      <w:iCs/>
      <w:color w:val="0F4761" w:themeColor="accent1" w:themeShade="BF"/>
    </w:rPr>
  </w:style>
  <w:style w:type="character" w:styleId="ad">
    <w:name w:val="Intense Reference"/>
    <w:basedOn w:val="a0"/>
    <w:uiPriority w:val="32"/>
    <w:qFormat/>
    <w:rsid w:val="00D96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963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