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51CD" w:rsidRPr="00863CCE" w:rsidRDefault="007551CD"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74"/>
      <w:r w:rsidRPr="00863CCE">
        <w:rPr>
          <w:rFonts w:ascii="Keren" w:eastAsia="Times New Roman" w:hAnsi="Keren" w:cs="David"/>
          <w:b/>
          <w:bCs/>
          <w:sz w:val="26"/>
          <w:szCs w:val="24"/>
          <w:rtl/>
          <w:lang w:eastAsia="he-IL"/>
          <w14:ligatures w14:val="none"/>
        </w:rPr>
        <w:t>בקרבי אקדש</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"בקרבי אקדש:ערך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"מיתת צדיקים מכפרת"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"אישים:נדב ואביהוא"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"כפרה:מיתת צדיקים"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7551CD" w:rsidRPr="00863CCE" w:rsidRDefault="007551C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ביטוי שמשמעותו שמיתת צדיקים מכפרת. המקור הוא בדברי משה רבנו אל אחיו הגדול ממנו - אהרן הכהן הגדול, בשם ה'. הדברים נאמרו אחרי מות שני בני אהרן נדב ואביהוא, בהקריבם אש זרה לפני ה' (ויקרא י, ג). נדב ואביהוא הקטירו לפני ה' ונכנסו לקודש הקודשים ללא ציווי וללא רשות, בניגוד לכללי ההתנהגות במשכן, ועקב כך מתו. נדב ואביהוא, מלבד היותם בני אהרן, היו תלמידים מובהקים של משה רבנו, נחשבו מגדולי תלמידי החכמים שבדור, והיו המועמדים לכהונה גדולה לאחר אביהם. יזמתם, חטאם ומיתתם נידונים בהרחבה בדברי חז"ל ובפרשנים. </w:t>
      </w:r>
    </w:p>
    <w:p w:rsidR="007551CD" w:rsidRPr="00863CCE" w:rsidRDefault="007551CD"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מיתתם אירעה בשיאו של אירוע לאומי נדיר ונשגב, חנוכת המשכן והמזבח, והשראת שכינה בישראל. התרחשות בו זמנית של התפרצות שמחה עצומה מצד העם, עקב השראת השכינה במשכן לאחר הציפיה הדרוכה לכך - "</w:t>
      </w:r>
      <w:r w:rsidRPr="00863CCE">
        <w:rPr>
          <w:rFonts w:ascii="Keren" w:eastAsia="Times New Roman" w:hAnsi="Keren" w:cs="David"/>
          <w:sz w:val="20"/>
          <w:szCs w:val="20"/>
          <w:rtl/>
          <w:lang w:eastAsia="he-IL"/>
          <w14:ligatures w14:val="none"/>
        </w:rPr>
        <w:t>וַיַּרְא כָּל הָעָם וַיָּרֹנּוּ וַיִּפְּלוּ עַל פְּנֵיהֶם</w:t>
      </w:r>
      <w:r w:rsidRPr="00863CCE">
        <w:rPr>
          <w:rFonts w:ascii="Keren" w:eastAsia="Times New Roman" w:hAnsi="Keren" w:cs="David"/>
          <w:szCs w:val="20"/>
          <w:rtl/>
          <w:lang w:eastAsia="he-IL"/>
          <w14:ligatures w14:val="none"/>
        </w:rPr>
        <w:t xml:space="preserve">", עם האסון הכבד שארע לחתן השמחה המרכזי - אהרן הכהן הגדול, גרמה לצער ואבל, וגם למבוכה רבה ולצורך בהדרכה צמודה מצד משה רבנו כיצד יש לנהוג במצב מורכב זה. משה הורה לאהרן ולבניו </w:t>
      </w:r>
      <w:r w:rsidRPr="00863CCE">
        <w:rPr>
          <w:rFonts w:ascii="Keren" w:eastAsia="Times New Roman" w:hAnsi="Keren" w:cs="David"/>
          <w:szCs w:val="20"/>
          <w:u w:val="single"/>
          <w:rtl/>
          <w:lang w:eastAsia="he-IL"/>
          <w14:ligatures w14:val="none"/>
        </w:rPr>
        <w:t>לא</w:t>
      </w:r>
      <w:r w:rsidRPr="00863CCE">
        <w:rPr>
          <w:rFonts w:ascii="Keren" w:eastAsia="Times New Roman" w:hAnsi="Keren" w:cs="David"/>
          <w:szCs w:val="20"/>
          <w:rtl/>
          <w:lang w:eastAsia="he-IL"/>
          <w14:ligatures w14:val="none"/>
        </w:rPr>
        <w:t xml:space="preserve"> לנהוג אבלות בשל קדושת המעמד ועקב התפקיד והמשמעות הציבורית שיש להם. האבלות הפרטית נדחתה מפני השמחה הציבורית.</w:t>
      </w:r>
    </w:p>
    <w:p w:rsidR="007551CD" w:rsidRPr="00863CCE" w:rsidRDefault="007551CD"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רש"י שם פירש "</w:t>
      </w:r>
      <w:r w:rsidRPr="00863CCE">
        <w:rPr>
          <w:rFonts w:ascii="Keren" w:eastAsia="Times New Roman" w:hAnsi="Keren" w:cs="David"/>
          <w:sz w:val="20"/>
          <w:szCs w:val="20"/>
          <w:rtl/>
          <w:lang w:eastAsia="he-IL"/>
          <w14:ligatures w14:val="none"/>
        </w:rPr>
        <w:t>הוּא אֲשֶׁר דִּבֶּר ה' לֵאמֹר בִּקְרֹבַי אֶקָּדֵשׁ</w:t>
      </w:r>
      <w:r w:rsidRPr="00863CCE">
        <w:rPr>
          <w:rFonts w:ascii="Keren" w:eastAsia="Times New Roman" w:hAnsi="Keren" w:cs="David"/>
          <w:szCs w:val="20"/>
          <w:rtl/>
          <w:lang w:eastAsia="he-IL"/>
          <w14:ligatures w14:val="none"/>
        </w:rPr>
        <w:t>" – היכן דבר? "</w:t>
      </w:r>
      <w:r w:rsidRPr="00863CCE">
        <w:rPr>
          <w:rFonts w:ascii="Keren" w:eastAsia="Times New Roman" w:hAnsi="Keren" w:cs="David"/>
          <w:sz w:val="20"/>
          <w:szCs w:val="20"/>
          <w:rtl/>
          <w:lang w:eastAsia="he-IL"/>
          <w14:ligatures w14:val="none"/>
        </w:rPr>
        <w:t>וְנֹעַדְתִּי שָׁמָּה לִבְנֵי יִשְׂרָאֵל וְנִקְדַּשׁ בִּכְבֹדִי</w:t>
      </w:r>
      <w:r w:rsidRPr="00863CCE">
        <w:rPr>
          <w:rFonts w:ascii="Keren" w:eastAsia="Times New Roman" w:hAnsi="Keren" w:cs="David"/>
          <w:szCs w:val="20"/>
          <w:rtl/>
          <w:lang w:eastAsia="he-IL"/>
          <w14:ligatures w14:val="none"/>
        </w:rPr>
        <w:t>" (שמות כט, מג), אל תקרי 'בכבודי' אלא 'במכובדי'. אמר לו משה לאהרן: אהרן אחי, יודע הייתי שיתקדש הבית במיודעיו של מקום, והייתי סבור או בי או בך. עכשיו אני רואה שהם גדולים ממני וממך". והרמב"ן כתב:"</w:t>
      </w:r>
      <w:r w:rsidRPr="00863CCE">
        <w:rPr>
          <w:rFonts w:ascii="Keren" w:eastAsia="Times New Roman" w:hAnsi="Keren" w:cs="David"/>
          <w:sz w:val="20"/>
          <w:szCs w:val="20"/>
          <w:rtl/>
          <w:lang w:eastAsia="he-IL"/>
          <w14:ligatures w14:val="none"/>
        </w:rPr>
        <w:t>בִּקְרֹבַי אֶקָּדֵשׁ</w:t>
      </w:r>
      <w:r w:rsidRPr="00863CCE">
        <w:rPr>
          <w:rFonts w:ascii="Keren" w:eastAsia="Times New Roman" w:hAnsi="Keren" w:cs="David"/>
          <w:szCs w:val="20"/>
          <w:rtl/>
          <w:lang w:eastAsia="he-IL"/>
          <w14:ligatures w14:val="none"/>
        </w:rPr>
        <w:t xml:space="preserve"> – שלא יהרסו אל קדושתי, </w:t>
      </w:r>
      <w:r w:rsidRPr="00863CCE">
        <w:rPr>
          <w:rFonts w:ascii="Keren" w:eastAsia="Times New Roman" w:hAnsi="Keren" w:cs="David"/>
          <w:color w:val="000000"/>
          <w:sz w:val="20"/>
          <w:szCs w:val="20"/>
          <w:rtl/>
          <w:lang w:eastAsia="he-IL"/>
          <w14:ligatures w14:val="none"/>
        </w:rPr>
        <w:t xml:space="preserve">וְעַל פְּנֵי כָל הָעָם אֶכָּבֵד </w:t>
      </w:r>
      <w:r w:rsidRPr="00863CCE">
        <w:rPr>
          <w:rFonts w:ascii="Keren" w:eastAsia="Times New Roman" w:hAnsi="Keren" w:cs="David"/>
          <w:szCs w:val="20"/>
          <w:rtl/>
          <w:lang w:eastAsia="he-IL"/>
          <w14:ligatures w14:val="none"/>
        </w:rPr>
        <w:t xml:space="preserve">– שיהיו נוהגים כבוד במקדשי". </w:t>
      </w:r>
    </w:p>
    <w:p w:rsidR="007551CD" w:rsidRPr="00863CCE" w:rsidRDefault="007551CD"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ניתן לומר שעצם גילוי השכינה גורם להקפדה יתרה כלפי בני האדם. קירבה אל המלך מחייבת יותר את המקורבים אליו. ככל שהקירבה גדולה יותר, המחויבות להתנהגות ראויה ומושלמת עמוקה יותר. יש לאדם לנהוג משנה זהירות בעמדו לפני המלך. נדב ואביהוא היו קדושי עליון אך מתברר שנטלו מדעתם יוזמה שלא במקומה. מיתתם היתה מכה קשה לעם ישראל, אך לימדה את ישראל שהמושג עם סגולה הוא מושג מחייב ותובעני. העמידה לפני ה' אין בה שררה וכוחניות, אלא דרישה להתנהגות מוסרית ראויה וצודקת ללא רבב.</w:t>
      </w:r>
    </w:p>
    <w:p w:rsidR="00D5072B" w:rsidRDefault="007551CD">
      <w:r w:rsidRPr="00863CCE">
        <w:rPr>
          <w:rFonts w:ascii="Keren" w:eastAsia="Times New Roman" w:hAnsi="Keren" w:cs="David"/>
          <w:szCs w:val="20"/>
          <w:rtl/>
          <w:lang w:eastAsia="he-IL"/>
          <w14:ligatures w14:val="none"/>
        </w:rPr>
        <w:t xml:space="preserve">ניתן להשוות זאת לחשמלאי העובד עם זרם במתח גבוה, שעליו להיזהר כפל כפליים מאשר בזרם ביתי. יש כוח עצום למתח הגבוה היכול להביא תועלת מרובה. אך אסור לאדם לגשת אליו ללא הדרכה מתאימה. עם ישראל העומד לפני ה' נמצא ב"מתח רוחני גבוה". וככל שדרגת האדם הפרטי גבוהה יותר, כך הדרישות הרוחניות ממנו גבוהות יותר. כל שגיאה קטנה אצל אדם גדול יש בה משמעות, בשונה מאדם שדרגתו הרוחנית קטנה. לכן אמרו חכמים שה' מדקדק עם צדיקים כחוט השערה. השראת שכינה בעם ישראל בכלל וגם באדם בפרט היא פסגת השאיפות, תכלית המעלה האנושית והשיא הרוחני שניתן להגיע אליו. ממותם של נדב ואביהוא למדו ישראל ששכינה עשויה לשרות ביניהם, אך גם נוכחו לדעת שיש כללי התנהגות ראויים ומחויבים לכך. ע"ע </w:t>
      </w:r>
      <w:r w:rsidRPr="00863CCE">
        <w:rPr>
          <w:rFonts w:ascii="Keren" w:eastAsia="Times New Roman" w:hAnsi="Keren" w:cs="David"/>
          <w:b/>
          <w:bCs/>
          <w:szCs w:val="20"/>
          <w:rtl/>
          <w:lang w:eastAsia="he-IL"/>
          <w14:ligatures w14:val="none"/>
        </w:rPr>
        <w:t>מיתת צדיקים מכפרת.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CD"/>
    <w:rsid w:val="000D0A23"/>
    <w:rsid w:val="002C1211"/>
    <w:rsid w:val="005C4B14"/>
    <w:rsid w:val="007551CD"/>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1DCFC5-A1F2-4F73-AB4B-D6CB03AD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55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55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551C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551C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51C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51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51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51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51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551C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551C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551C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551CD"/>
    <w:rPr>
      <w:rFonts w:eastAsiaTheme="majorEastAsia" w:cstheme="majorBidi"/>
      <w:i/>
      <w:iCs/>
      <w:color w:val="0F4761" w:themeColor="accent1" w:themeShade="BF"/>
    </w:rPr>
  </w:style>
  <w:style w:type="character" w:customStyle="1" w:styleId="50">
    <w:name w:val="כותרת 5 תו"/>
    <w:basedOn w:val="a0"/>
    <w:link w:val="5"/>
    <w:uiPriority w:val="9"/>
    <w:semiHidden/>
    <w:rsid w:val="007551CD"/>
    <w:rPr>
      <w:rFonts w:eastAsiaTheme="majorEastAsia" w:cstheme="majorBidi"/>
      <w:color w:val="0F4761" w:themeColor="accent1" w:themeShade="BF"/>
    </w:rPr>
  </w:style>
  <w:style w:type="character" w:customStyle="1" w:styleId="60">
    <w:name w:val="כותרת 6 תו"/>
    <w:basedOn w:val="a0"/>
    <w:link w:val="6"/>
    <w:uiPriority w:val="9"/>
    <w:semiHidden/>
    <w:rsid w:val="007551CD"/>
    <w:rPr>
      <w:rFonts w:eastAsiaTheme="majorEastAsia" w:cstheme="majorBidi"/>
      <w:i/>
      <w:iCs/>
      <w:color w:val="595959" w:themeColor="text1" w:themeTint="A6"/>
    </w:rPr>
  </w:style>
  <w:style w:type="character" w:customStyle="1" w:styleId="70">
    <w:name w:val="כותרת 7 תו"/>
    <w:basedOn w:val="a0"/>
    <w:link w:val="7"/>
    <w:uiPriority w:val="9"/>
    <w:semiHidden/>
    <w:rsid w:val="007551CD"/>
    <w:rPr>
      <w:rFonts w:eastAsiaTheme="majorEastAsia" w:cstheme="majorBidi"/>
      <w:color w:val="595959" w:themeColor="text1" w:themeTint="A6"/>
    </w:rPr>
  </w:style>
  <w:style w:type="character" w:customStyle="1" w:styleId="80">
    <w:name w:val="כותרת 8 תו"/>
    <w:basedOn w:val="a0"/>
    <w:link w:val="8"/>
    <w:uiPriority w:val="9"/>
    <w:semiHidden/>
    <w:rsid w:val="007551CD"/>
    <w:rPr>
      <w:rFonts w:eastAsiaTheme="majorEastAsia" w:cstheme="majorBidi"/>
      <w:i/>
      <w:iCs/>
      <w:color w:val="272727" w:themeColor="text1" w:themeTint="D8"/>
    </w:rPr>
  </w:style>
  <w:style w:type="character" w:customStyle="1" w:styleId="90">
    <w:name w:val="כותרת 9 תו"/>
    <w:basedOn w:val="a0"/>
    <w:link w:val="9"/>
    <w:uiPriority w:val="9"/>
    <w:semiHidden/>
    <w:rsid w:val="007551CD"/>
    <w:rPr>
      <w:rFonts w:eastAsiaTheme="majorEastAsia" w:cstheme="majorBidi"/>
      <w:color w:val="272727" w:themeColor="text1" w:themeTint="D8"/>
    </w:rPr>
  </w:style>
  <w:style w:type="paragraph" w:styleId="a3">
    <w:name w:val="Title"/>
    <w:basedOn w:val="a"/>
    <w:next w:val="a"/>
    <w:link w:val="a4"/>
    <w:uiPriority w:val="10"/>
    <w:qFormat/>
    <w:rsid w:val="00755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551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51C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551C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551CD"/>
    <w:pPr>
      <w:spacing w:before="160"/>
      <w:jc w:val="center"/>
    </w:pPr>
    <w:rPr>
      <w:i/>
      <w:iCs/>
      <w:color w:val="404040" w:themeColor="text1" w:themeTint="BF"/>
    </w:rPr>
  </w:style>
  <w:style w:type="character" w:customStyle="1" w:styleId="a8">
    <w:name w:val="ציטוט תו"/>
    <w:basedOn w:val="a0"/>
    <w:link w:val="a7"/>
    <w:uiPriority w:val="29"/>
    <w:rsid w:val="007551CD"/>
    <w:rPr>
      <w:i/>
      <w:iCs/>
      <w:color w:val="404040" w:themeColor="text1" w:themeTint="BF"/>
    </w:rPr>
  </w:style>
  <w:style w:type="paragraph" w:styleId="a9">
    <w:name w:val="List Paragraph"/>
    <w:basedOn w:val="a"/>
    <w:uiPriority w:val="34"/>
    <w:qFormat/>
    <w:rsid w:val="007551CD"/>
    <w:pPr>
      <w:ind w:left="720"/>
      <w:contextualSpacing/>
    </w:pPr>
  </w:style>
  <w:style w:type="character" w:styleId="aa">
    <w:name w:val="Intense Emphasis"/>
    <w:basedOn w:val="a0"/>
    <w:uiPriority w:val="21"/>
    <w:qFormat/>
    <w:rsid w:val="007551CD"/>
    <w:rPr>
      <w:i/>
      <w:iCs/>
      <w:color w:val="0F4761" w:themeColor="accent1" w:themeShade="BF"/>
    </w:rPr>
  </w:style>
  <w:style w:type="paragraph" w:styleId="ab">
    <w:name w:val="Intense Quote"/>
    <w:basedOn w:val="a"/>
    <w:next w:val="a"/>
    <w:link w:val="ac"/>
    <w:uiPriority w:val="30"/>
    <w:qFormat/>
    <w:rsid w:val="0075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551CD"/>
    <w:rPr>
      <w:i/>
      <w:iCs/>
      <w:color w:val="0F4761" w:themeColor="accent1" w:themeShade="BF"/>
    </w:rPr>
  </w:style>
  <w:style w:type="character" w:styleId="ad">
    <w:name w:val="Intense Reference"/>
    <w:basedOn w:val="a0"/>
    <w:uiPriority w:val="32"/>
    <w:qFormat/>
    <w:rsid w:val="007551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451</Words>
  <Characters>2259</Characters>
  <Application>Microsoft Office Word</Application>
  <DocSecurity>0</DocSecurity>
  <Lines>18</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