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4AC8" w:rsidRPr="00863CCE" w:rsidRDefault="009B4AC8"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80"/>
      <w:r w:rsidRPr="00863CCE">
        <w:rPr>
          <w:rFonts w:ascii="Keren" w:eastAsia="Times New Roman" w:hAnsi="Keren" w:cs="David"/>
          <w:b/>
          <w:bCs/>
          <w:sz w:val="26"/>
          <w:szCs w:val="24"/>
          <w:rtl/>
          <w:lang w:eastAsia="he-IL"/>
          <w14:ligatures w14:val="none"/>
        </w:rPr>
        <w:t>ברכת אבלים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"ברכת אבלים:ערך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9B4AC8" w:rsidRPr="00863CCE" w:rsidRDefault="009B4AC8"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לאחר הקבורה, כשהיו מגיעים לרחבה של עיר, היו מברכים ברכת אבלים. לכן יש מקומות בהן נקראת ברכה זו בשם ברכת רחבה. המקור מובא בגמרא (כתובות ח, ב):</w:t>
      </w:r>
    </w:p>
    <w:p w:rsidR="009B4AC8" w:rsidRPr="00863CCE" w:rsidRDefault="009B4AC8" w:rsidP="00863CCE">
      <w:pPr>
        <w:autoSpaceDE w:val="0"/>
        <w:autoSpaceDN w:val="0"/>
        <w:adjustRightInd w:val="0"/>
        <w:spacing w:after="0" w:line="360" w:lineRule="auto"/>
        <w:ind w:left="386"/>
        <w:jc w:val="both"/>
        <w:rPr>
          <w:rFonts w:ascii="Times New Roman" w:eastAsia="Times New Roman" w:hAnsi="Times New Roman" w:cs="David"/>
          <w:color w:val="000000"/>
          <w:szCs w:val="20"/>
          <w:rtl/>
          <w:lang w:eastAsia="he-IL"/>
          <w14:ligatures w14:val="none"/>
        </w:rPr>
      </w:pPr>
      <w:r w:rsidRPr="00863CCE">
        <w:rPr>
          <w:rFonts w:ascii="Keren" w:eastAsia="Times New Roman" w:hAnsi="Keren" w:cs="David"/>
          <w:szCs w:val="20"/>
          <w:rtl/>
          <w:lang w:eastAsia="he-IL"/>
          <w14:ligatures w14:val="none"/>
        </w:rPr>
        <w:t>כשנפטר בנו של ריש לקיש, הלכו לבית האבל לנחמו. אמר רב חייא בר אבא למתורגמן</w:t>
      </w:r>
      <w:r w:rsidRPr="00863CCE">
        <w:rPr>
          <w:rFonts w:ascii="Times New Roman" w:eastAsia="Times New Roman" w:hAnsi="Times New Roman" w:cs="David"/>
          <w:color w:val="000000"/>
          <w:szCs w:val="20"/>
          <w:rtl/>
          <w:lang w:eastAsia="he-IL"/>
          <w14:ligatures w14:val="none"/>
        </w:rPr>
        <w:t xml:space="preserve">: קום אמור דברים כנגד שבחו של הקב"ה, פתח ואמר: האל הגדול ברוב גדלו, אדיר וחזק ברוב נוראות, מחיה מתים במאמרו, עושה גדולות עד אין חקר ונפלאות עד אין מספר, ברוך אתה ה' מחיה המתים. אמר לו: קום אמור דברים כנגד האבלים, פתח ואמר: אחינו המיוגעים המדוכאין באבל הזה, תנו לבבכם לחקור את זאת, זאת היא עומדת לעד, נתיב הוא מששת ימי בראשית, רבים שתו רבים ישתו, כמשתה ראשונים כך משתה אחרונים, אחינו, בעל נחמות ינחם אתכם, ברוך מנחם אבלים. אמר לו: קום אמור דברים כנגד מנחמי אבלים, פתח ואמר: אחינו גומלי חסדים בני גומלי חסדים, המחזיקים בבריתו של אברהם אבינו. אחינו, בעל הגמול ישלם לכם גמולכם, ברוך אתה משלם הגמול. אמר לו: קום אמור דברים כנגד כל ישראל, פתח ואמר: ריבון העולמים, פדה והצל, מלט, הושע עמך ישראל מן הדבר ומן החרב ומן הביזה, ומן השדפון ומן הירקון, ומכל מיני פורעניות המתרגשות ובאות לעולם, טרם נקרא ואתה תענה, ברוך אתה עוצר המגפה. </w:t>
      </w:r>
    </w:p>
    <w:p w:rsidR="009B4AC8" w:rsidRPr="00863CCE" w:rsidRDefault="009B4AC8" w:rsidP="00863CCE">
      <w:pPr>
        <w:autoSpaceDE w:val="0"/>
        <w:autoSpaceDN w:val="0"/>
        <w:adjustRightInd w:val="0"/>
        <w:spacing w:after="0" w:line="360" w:lineRule="auto"/>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הרמב"ן (תורת האדם עמוד קנ) מביא בשם הגאונים במקומו נוסח אחר לברכה: "ברוך אתה ה' אלוהינו מלך העולם דיין הרחמים שופט אמונות שדינו דין אמת כדכתיב הצור תמים פעלו, ברוך אתה ה' מנחם אבלים". משמע מהרמב"ן שמנהגות אלו בטלו בתקופתו למרות שנהגו בדורות הקודמים, כיון שאין ברכות אלו חובה אלא רשות, שהן ברכות השבח (שם, קנג – קנד). </w:t>
      </w:r>
    </w:p>
    <w:p w:rsidR="009B4AC8" w:rsidRPr="00863CCE" w:rsidRDefault="009B4AC8" w:rsidP="00863CCE">
      <w:pPr>
        <w:autoSpaceDE w:val="0"/>
        <w:autoSpaceDN w:val="0"/>
        <w:adjustRightInd w:val="0"/>
        <w:spacing w:after="0" w:line="360" w:lineRule="auto"/>
        <w:jc w:val="both"/>
        <w:rPr>
          <w:rFonts w:ascii="Times New Roman" w:eastAsia="Times New Roman" w:hAnsi="Times New Roman" w:cs="David"/>
          <w:color w:val="000000"/>
          <w:sz w:val="20"/>
          <w:szCs w:val="20"/>
          <w:rtl/>
          <w:lang w:eastAsia="he-IL"/>
          <w14:ligatures w14:val="none"/>
        </w:rPr>
      </w:pPr>
      <w:r w:rsidRPr="00863CCE">
        <w:rPr>
          <w:rFonts w:ascii="Times New Roman" w:eastAsia="Times New Roman" w:hAnsi="Times New Roman" w:cs="David"/>
          <w:color w:val="000000"/>
          <w:szCs w:val="20"/>
          <w:rtl/>
          <w:lang w:eastAsia="he-IL"/>
          <w14:ligatures w14:val="none"/>
        </w:rPr>
        <w:t>ברכה זו מוזכרת גם בטור (יורה דעה סימן שעו) אך לא נפסקה להלכה בשלחן ערוך ואין נוהגים בה כיום.</w:t>
      </w:r>
    </w:p>
    <w:p w:rsidR="009B4AC8" w:rsidRPr="00863CCE" w:rsidRDefault="009B4AC8" w:rsidP="00863CCE">
      <w:pPr>
        <w:autoSpaceDE w:val="0"/>
        <w:autoSpaceDN w:val="0"/>
        <w:adjustRightInd w:val="0"/>
        <w:spacing w:after="0" w:line="360" w:lineRule="auto"/>
        <w:jc w:val="both"/>
        <w:rPr>
          <w:rFonts w:ascii="Times New Roman" w:eastAsia="Times New Roman" w:hAnsi="Times New Roman" w:cs="David"/>
          <w:color w:val="000000"/>
          <w:szCs w:val="20"/>
          <w:lang w:eastAsia="he-IL"/>
          <w14:ligatures w14:val="none"/>
        </w:rPr>
      </w:pPr>
    </w:p>
    <w:p w:rsidR="009B4AC8" w:rsidRPr="00863CCE" w:rsidRDefault="009B4AC8" w:rsidP="00863CCE">
      <w:pPr>
        <w:autoSpaceDE w:val="0"/>
        <w:autoSpaceDN w:val="0"/>
        <w:adjustRightInd w:val="0"/>
        <w:spacing w:after="0" w:line="360" w:lineRule="auto"/>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ברכת אבלים היא גם כינוי לתוספת שמוסיפים בברכת המזון כשמברכים אותה בבית האבל. הנוסח מובא לעיל עמוד @. אף שברכה זו נזכרת בגמרא (ברכות מו, ב. מסכת שמחות סוף פי"ד) ובספרי ההלכה, ונפסקה בשלחן ערוך (אורח חיים סימן קפט, יורה דעה סימן שעט), והיא מצויה בסידורים בנוסחים שונים, אין האשכנזים נוהגים לאומרה. לפי מנהגי </w:t>
      </w:r>
      <w:r w:rsidRPr="00863CCE">
        <w:rPr>
          <w:rFonts w:ascii="Times New Roman" w:eastAsia="Times New Roman" w:hAnsi="Times New Roman" w:cs="David"/>
          <w:color w:val="000000"/>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"מנהג עדות המזרח:ברכת המזון בבית האבל"</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color w:val="000000"/>
          <w:szCs w:val="20"/>
          <w:rtl/>
          <w:lang w:eastAsia="he-IL"/>
          <w14:ligatures w14:val="none"/>
        </w:rPr>
        <w:fldChar w:fldCharType="end"/>
      </w:r>
      <w:r w:rsidRPr="00863CCE">
        <w:rPr>
          <w:rFonts w:ascii="Times New Roman" w:eastAsia="Times New Roman" w:hAnsi="Times New Roman" w:cs="David"/>
          <w:color w:val="000000"/>
          <w:szCs w:val="20"/>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"מנהג בני תימן:ברכת המזון בבית האבל"</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color w:val="000000"/>
          <w:szCs w:val="20"/>
          <w:lang w:eastAsia="he-IL"/>
          <w14:ligatures w14:val="none"/>
        </w:rPr>
        <w:fldChar w:fldCharType="end"/>
      </w:r>
      <w:r w:rsidRPr="00863CCE">
        <w:rPr>
          <w:rFonts w:ascii="Times New Roman" w:eastAsia="Times New Roman" w:hAnsi="Times New Roman" w:cs="David"/>
          <w:color w:val="000000"/>
          <w:szCs w:val="20"/>
          <w:rtl/>
          <w:lang w:eastAsia="he-IL"/>
          <w14:ligatures w14:val="none"/>
        </w:rPr>
        <w:t xml:space="preserve">עדות המזרח ולפי מנהג תימן נהוג לאומרה כנוסח אחר של ברכת הטוב והמטיב, ועיקרה דברי תנחומים ובקשה שלא תהא עוד צרה ויגון. </w:t>
      </w:r>
    </w:p>
    <w:p w:rsidR="00D5072B" w:rsidRDefault="009B4AC8">
      <w:r w:rsidRPr="00863CCE">
        <w:rPr>
          <w:rFonts w:ascii="Times New Roman" w:eastAsia="Times New Roman" w:hAnsi="Times New Roman" w:cs="David"/>
          <w:color w:val="000000"/>
          <w:szCs w:val="20"/>
          <w:rtl/>
          <w:lang w:eastAsia="he-IL"/>
          <w14:ligatures w14:val="none"/>
        </w:rPr>
        <w:t>הטעם שמוסיפים ניחום לאבלים דווקא בברכת המזון ולא בתפילה, כי בשעת ברכת המזון הוא עת שמחה ורצון. כי כשהאדם שבע הוא מברך בעין טובה. וכשם שהוא מברך בחדוה ועין טובה, כך מתברך ונותנים לו בחדוה ובעין טובה. ולכן טוב עין הוא יברך וינחם בברכת הטוב והמטיב (מעבר יַבֹּק מאמר שפת אמת פרק לו).</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AC8"/>
    <w:rsid w:val="000D0A23"/>
    <w:rsid w:val="002C1211"/>
    <w:rsid w:val="005C4B14"/>
    <w:rsid w:val="009B4AC8"/>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0EF221-0713-45A9-A861-62C8C2723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B4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B4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B4AC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B4A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B4A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B4A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B4A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B4A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B4A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B4AC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B4AC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B4AC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B4AC8"/>
    <w:rPr>
      <w:rFonts w:eastAsiaTheme="majorEastAsia" w:cstheme="majorBidi"/>
      <w:i/>
      <w:iCs/>
      <w:color w:val="0F4761" w:themeColor="accent1" w:themeShade="BF"/>
    </w:rPr>
  </w:style>
  <w:style w:type="character" w:customStyle="1" w:styleId="50">
    <w:name w:val="כותרת 5 תו"/>
    <w:basedOn w:val="a0"/>
    <w:link w:val="5"/>
    <w:uiPriority w:val="9"/>
    <w:semiHidden/>
    <w:rsid w:val="009B4AC8"/>
    <w:rPr>
      <w:rFonts w:eastAsiaTheme="majorEastAsia" w:cstheme="majorBidi"/>
      <w:color w:val="0F4761" w:themeColor="accent1" w:themeShade="BF"/>
    </w:rPr>
  </w:style>
  <w:style w:type="character" w:customStyle="1" w:styleId="60">
    <w:name w:val="כותרת 6 תו"/>
    <w:basedOn w:val="a0"/>
    <w:link w:val="6"/>
    <w:uiPriority w:val="9"/>
    <w:semiHidden/>
    <w:rsid w:val="009B4AC8"/>
    <w:rPr>
      <w:rFonts w:eastAsiaTheme="majorEastAsia" w:cstheme="majorBidi"/>
      <w:i/>
      <w:iCs/>
      <w:color w:val="595959" w:themeColor="text1" w:themeTint="A6"/>
    </w:rPr>
  </w:style>
  <w:style w:type="character" w:customStyle="1" w:styleId="70">
    <w:name w:val="כותרת 7 תו"/>
    <w:basedOn w:val="a0"/>
    <w:link w:val="7"/>
    <w:uiPriority w:val="9"/>
    <w:semiHidden/>
    <w:rsid w:val="009B4AC8"/>
    <w:rPr>
      <w:rFonts w:eastAsiaTheme="majorEastAsia" w:cstheme="majorBidi"/>
      <w:color w:val="595959" w:themeColor="text1" w:themeTint="A6"/>
    </w:rPr>
  </w:style>
  <w:style w:type="character" w:customStyle="1" w:styleId="80">
    <w:name w:val="כותרת 8 תו"/>
    <w:basedOn w:val="a0"/>
    <w:link w:val="8"/>
    <w:uiPriority w:val="9"/>
    <w:semiHidden/>
    <w:rsid w:val="009B4AC8"/>
    <w:rPr>
      <w:rFonts w:eastAsiaTheme="majorEastAsia" w:cstheme="majorBidi"/>
      <w:i/>
      <w:iCs/>
      <w:color w:val="272727" w:themeColor="text1" w:themeTint="D8"/>
    </w:rPr>
  </w:style>
  <w:style w:type="character" w:customStyle="1" w:styleId="90">
    <w:name w:val="כותרת 9 תו"/>
    <w:basedOn w:val="a0"/>
    <w:link w:val="9"/>
    <w:uiPriority w:val="9"/>
    <w:semiHidden/>
    <w:rsid w:val="009B4AC8"/>
    <w:rPr>
      <w:rFonts w:eastAsiaTheme="majorEastAsia" w:cstheme="majorBidi"/>
      <w:color w:val="272727" w:themeColor="text1" w:themeTint="D8"/>
    </w:rPr>
  </w:style>
  <w:style w:type="paragraph" w:styleId="a3">
    <w:name w:val="Title"/>
    <w:basedOn w:val="a"/>
    <w:next w:val="a"/>
    <w:link w:val="a4"/>
    <w:uiPriority w:val="10"/>
    <w:qFormat/>
    <w:rsid w:val="009B4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B4A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4AC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B4AC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B4AC8"/>
    <w:pPr>
      <w:spacing w:before="160"/>
      <w:jc w:val="center"/>
    </w:pPr>
    <w:rPr>
      <w:i/>
      <w:iCs/>
      <w:color w:val="404040" w:themeColor="text1" w:themeTint="BF"/>
    </w:rPr>
  </w:style>
  <w:style w:type="character" w:customStyle="1" w:styleId="a8">
    <w:name w:val="ציטוט תו"/>
    <w:basedOn w:val="a0"/>
    <w:link w:val="a7"/>
    <w:uiPriority w:val="29"/>
    <w:rsid w:val="009B4AC8"/>
    <w:rPr>
      <w:i/>
      <w:iCs/>
      <w:color w:val="404040" w:themeColor="text1" w:themeTint="BF"/>
    </w:rPr>
  </w:style>
  <w:style w:type="paragraph" w:styleId="a9">
    <w:name w:val="List Paragraph"/>
    <w:basedOn w:val="a"/>
    <w:uiPriority w:val="34"/>
    <w:qFormat/>
    <w:rsid w:val="009B4AC8"/>
    <w:pPr>
      <w:ind w:left="720"/>
      <w:contextualSpacing/>
    </w:pPr>
  </w:style>
  <w:style w:type="character" w:styleId="aa">
    <w:name w:val="Intense Emphasis"/>
    <w:basedOn w:val="a0"/>
    <w:uiPriority w:val="21"/>
    <w:qFormat/>
    <w:rsid w:val="009B4AC8"/>
    <w:rPr>
      <w:i/>
      <w:iCs/>
      <w:color w:val="0F4761" w:themeColor="accent1" w:themeShade="BF"/>
    </w:rPr>
  </w:style>
  <w:style w:type="paragraph" w:styleId="ab">
    <w:name w:val="Intense Quote"/>
    <w:basedOn w:val="a"/>
    <w:next w:val="a"/>
    <w:link w:val="ac"/>
    <w:uiPriority w:val="30"/>
    <w:qFormat/>
    <w:rsid w:val="009B4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B4AC8"/>
    <w:rPr>
      <w:i/>
      <w:iCs/>
      <w:color w:val="0F4761" w:themeColor="accent1" w:themeShade="BF"/>
    </w:rPr>
  </w:style>
  <w:style w:type="character" w:styleId="ad">
    <w:name w:val="Intense Reference"/>
    <w:basedOn w:val="a0"/>
    <w:uiPriority w:val="32"/>
    <w:qFormat/>
    <w:rsid w:val="009B4A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382</Words>
  <Characters>1911</Characters>
  <Application>Microsoft Office Word</Application>
  <DocSecurity>0</DocSecurity>
  <Lines>15</Lines>
  <Paragraphs>4</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