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2A7F" w:rsidRPr="00863CCE" w:rsidRDefault="00D62A7F"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84"/>
      <w:r w:rsidRPr="00863CCE">
        <w:rPr>
          <w:rFonts w:ascii="Keren" w:eastAsia="Times New Roman" w:hAnsi="Keren" w:cs="David"/>
          <w:b/>
          <w:bCs/>
          <w:sz w:val="26"/>
          <w:szCs w:val="24"/>
          <w:rtl/>
          <w:lang w:eastAsia="he-IL"/>
          <w14:ligatures w14:val="none"/>
        </w:rPr>
        <w:t>בשמים של מתים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"בשמים של מתים:ערך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62A7F" w:rsidRPr="00863CCE" w:rsidRDefault="00D62A7F"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בימי התלמוד היו משתמשים בבשמים אצל המת, כדי להעביר את הריח. להלכה אין מברכים על בשמים של מתים, כיון שלא נעשו להריח בהם אלא רק כדי להעביר את הריח הרע (שלחן ערוך אורח חיים ריז, ב).</w:t>
      </w:r>
    </w:p>
    <w:p w:rsidR="00D5072B" w:rsidRDefault="00D62A7F">
      <w:r w:rsidRPr="00863CCE">
        <w:rPr>
          <w:rFonts w:ascii="Keren" w:eastAsia="Times New Roman" w:hAnsi="Keren" w:cs="David"/>
          <w:szCs w:val="20"/>
          <w:rtl/>
          <w:lang w:eastAsia="he-IL"/>
          <w14:ligatures w14:val="none"/>
        </w:rPr>
        <w:t xml:space="preserve">על פי מנהגי תימן, נהגו לשים חבילות של שיחי בושם, כגון ריחן, בתוך תכריכי המת, כדי שלא יתבזו מתים שכבר התחילו להסריח. ועוד נהגו שכשנושאים את המיטה לבית הקברות, עוצרים ועושים </w:t>
      </w:r>
      <w:r w:rsidRPr="00863CCE">
        <w:rPr>
          <w:rFonts w:ascii="Keren" w:eastAsia="Times New Roman" w:hAnsi="Keren" w:cs="David"/>
          <w:b/>
          <w:bCs/>
          <w:szCs w:val="20"/>
          <w:rtl/>
          <w:lang w:eastAsia="he-IL"/>
          <w14:ligatures w14:val="none"/>
        </w:rPr>
        <w:t>מעמד ומושב</w:t>
      </w:r>
      <w:r w:rsidRPr="00863CCE">
        <w:rPr>
          <w:rFonts w:ascii="Keren" w:eastAsia="Times New Roman" w:hAnsi="Keren" w:cs="David"/>
          <w:szCs w:val="20"/>
          <w:rtl/>
          <w:lang w:eastAsia="he-IL"/>
          <w14:ligatures w14:val="none"/>
        </w:rPr>
        <w:t xml:space="preserve">, שניים או שלושה נערים מחזיקים בידם מחתה מלאה גחלי אש ועוברים בקרבת המיטה, ומקטרים עליהם גרגרי לבונה כדי שלא יתבזה המת שכבר התחיל להסריח. משום כך נקראת הלבונה "מוגמר של מתים" (הליכות תימן, מנהגי קבורה ואבלות עמוד 329).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A7F"/>
    <w:rsid w:val="000D0A23"/>
    <w:rsid w:val="002C1211"/>
    <w:rsid w:val="005C4B14"/>
    <w:rsid w:val="00AA7185"/>
    <w:rsid w:val="00B22A00"/>
    <w:rsid w:val="00D5072B"/>
    <w:rsid w:val="00D62A7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A72451-EBF1-46BA-8DA6-234B5338A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62A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62A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62A7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62A7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62A7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2A7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62A7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2A7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62A7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62A7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62A7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62A7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62A7F"/>
    <w:rPr>
      <w:rFonts w:eastAsiaTheme="majorEastAsia" w:cstheme="majorBidi"/>
      <w:i/>
      <w:iCs/>
      <w:color w:val="0F4761" w:themeColor="accent1" w:themeShade="BF"/>
    </w:rPr>
  </w:style>
  <w:style w:type="character" w:customStyle="1" w:styleId="50">
    <w:name w:val="כותרת 5 תו"/>
    <w:basedOn w:val="a0"/>
    <w:link w:val="5"/>
    <w:uiPriority w:val="9"/>
    <w:semiHidden/>
    <w:rsid w:val="00D62A7F"/>
    <w:rPr>
      <w:rFonts w:eastAsiaTheme="majorEastAsia" w:cstheme="majorBidi"/>
      <w:color w:val="0F4761" w:themeColor="accent1" w:themeShade="BF"/>
    </w:rPr>
  </w:style>
  <w:style w:type="character" w:customStyle="1" w:styleId="60">
    <w:name w:val="כותרת 6 תו"/>
    <w:basedOn w:val="a0"/>
    <w:link w:val="6"/>
    <w:uiPriority w:val="9"/>
    <w:semiHidden/>
    <w:rsid w:val="00D62A7F"/>
    <w:rPr>
      <w:rFonts w:eastAsiaTheme="majorEastAsia" w:cstheme="majorBidi"/>
      <w:i/>
      <w:iCs/>
      <w:color w:val="595959" w:themeColor="text1" w:themeTint="A6"/>
    </w:rPr>
  </w:style>
  <w:style w:type="character" w:customStyle="1" w:styleId="70">
    <w:name w:val="כותרת 7 תו"/>
    <w:basedOn w:val="a0"/>
    <w:link w:val="7"/>
    <w:uiPriority w:val="9"/>
    <w:semiHidden/>
    <w:rsid w:val="00D62A7F"/>
    <w:rPr>
      <w:rFonts w:eastAsiaTheme="majorEastAsia" w:cstheme="majorBidi"/>
      <w:color w:val="595959" w:themeColor="text1" w:themeTint="A6"/>
    </w:rPr>
  </w:style>
  <w:style w:type="character" w:customStyle="1" w:styleId="80">
    <w:name w:val="כותרת 8 תו"/>
    <w:basedOn w:val="a0"/>
    <w:link w:val="8"/>
    <w:uiPriority w:val="9"/>
    <w:semiHidden/>
    <w:rsid w:val="00D62A7F"/>
    <w:rPr>
      <w:rFonts w:eastAsiaTheme="majorEastAsia" w:cstheme="majorBidi"/>
      <w:i/>
      <w:iCs/>
      <w:color w:val="272727" w:themeColor="text1" w:themeTint="D8"/>
    </w:rPr>
  </w:style>
  <w:style w:type="character" w:customStyle="1" w:styleId="90">
    <w:name w:val="כותרת 9 תו"/>
    <w:basedOn w:val="a0"/>
    <w:link w:val="9"/>
    <w:uiPriority w:val="9"/>
    <w:semiHidden/>
    <w:rsid w:val="00D62A7F"/>
    <w:rPr>
      <w:rFonts w:eastAsiaTheme="majorEastAsia" w:cstheme="majorBidi"/>
      <w:color w:val="272727" w:themeColor="text1" w:themeTint="D8"/>
    </w:rPr>
  </w:style>
  <w:style w:type="paragraph" w:styleId="a3">
    <w:name w:val="Title"/>
    <w:basedOn w:val="a"/>
    <w:next w:val="a"/>
    <w:link w:val="a4"/>
    <w:uiPriority w:val="10"/>
    <w:qFormat/>
    <w:rsid w:val="00D62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62A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2A7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62A7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62A7F"/>
    <w:pPr>
      <w:spacing w:before="160"/>
      <w:jc w:val="center"/>
    </w:pPr>
    <w:rPr>
      <w:i/>
      <w:iCs/>
      <w:color w:val="404040" w:themeColor="text1" w:themeTint="BF"/>
    </w:rPr>
  </w:style>
  <w:style w:type="character" w:customStyle="1" w:styleId="a8">
    <w:name w:val="ציטוט תו"/>
    <w:basedOn w:val="a0"/>
    <w:link w:val="a7"/>
    <w:uiPriority w:val="29"/>
    <w:rsid w:val="00D62A7F"/>
    <w:rPr>
      <w:i/>
      <w:iCs/>
      <w:color w:val="404040" w:themeColor="text1" w:themeTint="BF"/>
    </w:rPr>
  </w:style>
  <w:style w:type="paragraph" w:styleId="a9">
    <w:name w:val="List Paragraph"/>
    <w:basedOn w:val="a"/>
    <w:uiPriority w:val="34"/>
    <w:qFormat/>
    <w:rsid w:val="00D62A7F"/>
    <w:pPr>
      <w:ind w:left="720"/>
      <w:contextualSpacing/>
    </w:pPr>
  </w:style>
  <w:style w:type="character" w:styleId="aa">
    <w:name w:val="Intense Emphasis"/>
    <w:basedOn w:val="a0"/>
    <w:uiPriority w:val="21"/>
    <w:qFormat/>
    <w:rsid w:val="00D62A7F"/>
    <w:rPr>
      <w:i/>
      <w:iCs/>
      <w:color w:val="0F4761" w:themeColor="accent1" w:themeShade="BF"/>
    </w:rPr>
  </w:style>
  <w:style w:type="paragraph" w:styleId="ab">
    <w:name w:val="Intense Quote"/>
    <w:basedOn w:val="a"/>
    <w:next w:val="a"/>
    <w:link w:val="ac"/>
    <w:uiPriority w:val="30"/>
    <w:qFormat/>
    <w:rsid w:val="00D62A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62A7F"/>
    <w:rPr>
      <w:i/>
      <w:iCs/>
      <w:color w:val="0F4761" w:themeColor="accent1" w:themeShade="BF"/>
    </w:rPr>
  </w:style>
  <w:style w:type="character" w:styleId="ad">
    <w:name w:val="Intense Reference"/>
    <w:basedOn w:val="a0"/>
    <w:uiPriority w:val="32"/>
    <w:qFormat/>
    <w:rsid w:val="00D62A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106</Words>
  <Characters>532</Characters>
  <Application>Microsoft Office Word</Application>
  <DocSecurity>0</DocSecurity>
  <Lines>4</Lines>
  <Paragraphs>1</Paragraphs>
  <ScaleCrop>false</ScaleCrop>
  <Company/>
  <LinksUpToDate>false</LinksUpToDate>
  <CharactersWithSpaces>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