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7998" w:rsidRPr="00863CCE" w:rsidRDefault="0061799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85"/>
      <w:r w:rsidRPr="00863CCE">
        <w:rPr>
          <w:rFonts w:ascii="Keren" w:eastAsia="Times New Roman" w:hAnsi="Keren" w:cs="David"/>
          <w:b/>
          <w:bCs/>
          <w:sz w:val="26"/>
          <w:szCs w:val="24"/>
          <w:rtl/>
          <w:lang w:eastAsia="he-IL"/>
          <w14:ligatures w14:val="none"/>
        </w:rPr>
        <w:t>גדול הבית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"גדול הבית:ערך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617998" w:rsidRPr="00863CCE" w:rsidRDefault="00617998" w:rsidP="00863CCE">
      <w:pPr>
        <w:spacing w:after="0" w:line="360" w:lineRule="auto"/>
        <w:jc w:val="both"/>
        <w:rPr>
          <w:rFonts w:ascii="Arial" w:eastAsia="Times New Roman" w:hAnsi="Arial" w:cs="David"/>
          <w:sz w:val="26"/>
          <w:szCs w:val="24"/>
          <w:rtl/>
          <w:lang w:eastAsia="he-IL"/>
          <w14:ligatures w14:val="none"/>
        </w:rPr>
      </w:pPr>
      <w:r w:rsidRPr="00863CCE">
        <w:rPr>
          <w:rFonts w:ascii="Arial" w:eastAsia="Times New Roman" w:hAnsi="Arial" w:cs="David"/>
          <w:szCs w:val="20"/>
          <w:rtl/>
          <w:lang w:eastAsia="he-IL"/>
          <w14:ligatures w14:val="none"/>
        </w:rPr>
        <w:t>החשוב במשפחה, שכל בני הבית נגררים אחריו בנוגע למניין ימי האבלות כשמת אחד מן הקרובים. האבל שענייני המת וקבורתו נחתכין על פיו, לאו דווקא הגדול בשנים</w:t>
      </w:r>
      <w:r w:rsidRPr="00863CCE">
        <w:rPr>
          <w:rFonts w:ascii="Arial" w:eastAsia="Times New Roman" w:hAnsi="Arial" w:cs="David"/>
          <w:sz w:val="26"/>
          <w:szCs w:val="24"/>
          <w:rtl/>
          <w:lang w:eastAsia="he-IL"/>
          <w14:ligatures w14:val="none"/>
        </w:rPr>
        <w:t xml:space="preserve">. </w:t>
      </w:r>
    </w:p>
    <w:p w:rsidR="00617998" w:rsidRPr="00863CCE" w:rsidRDefault="00617998"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קרוב שלא ידע שמת קרובו ובא באמצע השבעה לבית האבלים, ושם יושב גם גדול הבית – מצטרף לאבלים ויושב רק את מספר הימים שהם משלימים, וקם מהשבעה יחד אתם. אפילו בא ביום השביעי, אם עדיין לא קמו – יושב אתם שעה קלה וקם יחד אתם. ואם כבר קמו מאבלותם – מתחיל למנות שבעה לעצמו.</w:t>
      </w:r>
    </w:p>
    <w:p w:rsidR="00617998" w:rsidRPr="00863CCE" w:rsidRDefault="00617998"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יש ארבעה תנאים כדי שיוכל הקרוב להצטרף אל האבלים:</w:t>
      </w:r>
    </w:p>
    <w:p w:rsidR="00617998" w:rsidRPr="00863CCE" w:rsidRDefault="00617998" w:rsidP="00617998">
      <w:pPr>
        <w:numPr>
          <w:ilvl w:val="0"/>
          <w:numId w:val="1"/>
        </w:num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Cs w:val="20"/>
          <w:rtl/>
          <w:lang w:eastAsia="he-IL"/>
          <w14:ligatures w14:val="none"/>
        </w:rPr>
        <w:t>כשלא ידע שמת או שלא התחיל באבלות עד  שבא למקום האבלים.</w:t>
      </w:r>
    </w:p>
    <w:p w:rsidR="00617998" w:rsidRPr="00863CCE" w:rsidRDefault="00617998" w:rsidP="00617998">
      <w:pPr>
        <w:numPr>
          <w:ilvl w:val="0"/>
          <w:numId w:val="1"/>
        </w:num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Cs w:val="20"/>
          <w:rtl/>
          <w:lang w:eastAsia="he-IL"/>
          <w14:ligatures w14:val="none"/>
        </w:rPr>
        <w:t xml:space="preserve">כשגדול הבית בין האבלים, (אפילו רק ישב שם והלך משם). </w:t>
      </w:r>
    </w:p>
    <w:p w:rsidR="00617998" w:rsidRPr="00863CCE" w:rsidRDefault="00617998" w:rsidP="00617998">
      <w:pPr>
        <w:numPr>
          <w:ilvl w:val="0"/>
          <w:numId w:val="1"/>
        </w:num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Cs w:val="20"/>
          <w:rtl/>
          <w:lang w:eastAsia="he-IL"/>
          <w14:ligatures w14:val="none"/>
        </w:rPr>
        <w:t>כשהאבלים יושבים בעיר שמת או שנקבר שם.</w:t>
      </w:r>
    </w:p>
    <w:p w:rsidR="00617998" w:rsidRPr="00863CCE" w:rsidRDefault="00617998" w:rsidP="00617998">
      <w:pPr>
        <w:numPr>
          <w:ilvl w:val="0"/>
          <w:numId w:val="1"/>
        </w:num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Cs w:val="20"/>
          <w:rtl/>
          <w:lang w:eastAsia="he-IL"/>
          <w14:ligatures w14:val="none"/>
        </w:rPr>
        <w:t>שהקרוב היה בזמן הקבורה לא רחוק ממהלך יום אחד ממקום הקבורה.</w:t>
      </w:r>
    </w:p>
    <w:p w:rsidR="00617998" w:rsidRPr="00863CCE" w:rsidRDefault="00617998" w:rsidP="00863CCE">
      <w:pPr>
        <w:spacing w:after="0" w:line="360" w:lineRule="auto"/>
        <w:jc w:val="both"/>
        <w:rPr>
          <w:rFonts w:ascii="Arial" w:eastAsia="Times New Roman" w:hAnsi="Arial" w:cs="David"/>
          <w:szCs w:val="20"/>
          <w:lang w:eastAsia="he-IL"/>
          <w14:ligatures w14:val="none"/>
        </w:rPr>
      </w:pPr>
      <w:r w:rsidRPr="00863CCE">
        <w:rPr>
          <w:rFonts w:ascii="Arial" w:eastAsia="Times New Roman" w:hAnsi="Arial" w:cs="David"/>
          <w:szCs w:val="20"/>
          <w:rtl/>
          <w:lang w:eastAsia="he-IL"/>
          <w14:ligatures w14:val="none"/>
        </w:rPr>
        <w:t>אם לא מתקיימים כל ארבעת התנאים, מונה הקרוב שבעה ימים לעצמו מהזמן שנודע לו.</w:t>
      </w:r>
    </w:p>
    <w:p w:rsidR="00617998" w:rsidRPr="00863CCE" w:rsidRDefault="00617998"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כשמוליכים את המת מעיר לעיר, וחלק מהקרובים נשארים וחלקם מלווים את הנפטר לעיר האחרת. ככלל, אלו שאינם מלווים את המת מונים שבעת ימי אבלות משיחזירו פניהם מהמת, ואלו שהולכים עמו מונים מסתימת הגולל. אבל כשגדול הבית הולך עם הנפטר ללוותו, כולם נגררים אחריו ומונים משעה שייקבר. ודווקא כשמקום הקבורה אינו רחוק יותר משלושה ימי הגעה. </w:t>
      </w:r>
    </w:p>
    <w:p w:rsidR="00D5072B" w:rsidRDefault="00617998">
      <w:r w:rsidRPr="00863CCE">
        <w:rPr>
          <w:rFonts w:ascii="Arial" w:eastAsia="Times New Roman" w:hAnsi="Arial" w:cs="David"/>
          <w:szCs w:val="20"/>
          <w:rtl/>
          <w:lang w:eastAsia="he-IL"/>
          <w14:ligatures w14:val="none"/>
        </w:rPr>
        <w:t>(טור ושלחן ערוך יורה דעה סימן שעה. גשר החיים פרק יט סעיף ה. אנציקלופדיה תלמודית ערך גדול הבית. בספרנו בעמוד 210@).</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eren">
    <w:altName w:val="Times New Roman"/>
    <w:charset w:val="B1"/>
    <w:family w:val="auto"/>
    <w:pitch w:val="variable"/>
    <w:sig w:usb0="00001801" w:usb1="00000000" w:usb2="00000000" w:usb3="00000000" w:csb0="0000002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num w:numId="1" w16cid:durableId="1255238327">
    <w:abstractNumId w:val="0"/>
    <w:lvlOverride w:ilvl="0"/>
    <w:lvlOverride w:ilvl="1">
      <w:startOverride w:val="3"/>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98"/>
    <w:rsid w:val="000D0A23"/>
    <w:rsid w:val="002C1211"/>
    <w:rsid w:val="005C4B14"/>
    <w:rsid w:val="0061799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08DE7E-16F2-4C2B-A6B7-0BB3D1C7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17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17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179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179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179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179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179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79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179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1799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1799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1799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17998"/>
    <w:rPr>
      <w:rFonts w:eastAsiaTheme="majorEastAsia" w:cstheme="majorBidi"/>
      <w:i/>
      <w:iCs/>
      <w:color w:val="0F4761" w:themeColor="accent1" w:themeShade="BF"/>
    </w:rPr>
  </w:style>
  <w:style w:type="character" w:customStyle="1" w:styleId="50">
    <w:name w:val="כותרת 5 תו"/>
    <w:basedOn w:val="a0"/>
    <w:link w:val="5"/>
    <w:uiPriority w:val="9"/>
    <w:semiHidden/>
    <w:rsid w:val="00617998"/>
    <w:rPr>
      <w:rFonts w:eastAsiaTheme="majorEastAsia" w:cstheme="majorBidi"/>
      <w:color w:val="0F4761" w:themeColor="accent1" w:themeShade="BF"/>
    </w:rPr>
  </w:style>
  <w:style w:type="character" w:customStyle="1" w:styleId="60">
    <w:name w:val="כותרת 6 תו"/>
    <w:basedOn w:val="a0"/>
    <w:link w:val="6"/>
    <w:uiPriority w:val="9"/>
    <w:semiHidden/>
    <w:rsid w:val="00617998"/>
    <w:rPr>
      <w:rFonts w:eastAsiaTheme="majorEastAsia" w:cstheme="majorBidi"/>
      <w:i/>
      <w:iCs/>
      <w:color w:val="595959" w:themeColor="text1" w:themeTint="A6"/>
    </w:rPr>
  </w:style>
  <w:style w:type="character" w:customStyle="1" w:styleId="70">
    <w:name w:val="כותרת 7 תו"/>
    <w:basedOn w:val="a0"/>
    <w:link w:val="7"/>
    <w:uiPriority w:val="9"/>
    <w:semiHidden/>
    <w:rsid w:val="00617998"/>
    <w:rPr>
      <w:rFonts w:eastAsiaTheme="majorEastAsia" w:cstheme="majorBidi"/>
      <w:color w:val="595959" w:themeColor="text1" w:themeTint="A6"/>
    </w:rPr>
  </w:style>
  <w:style w:type="character" w:customStyle="1" w:styleId="80">
    <w:name w:val="כותרת 8 תו"/>
    <w:basedOn w:val="a0"/>
    <w:link w:val="8"/>
    <w:uiPriority w:val="9"/>
    <w:semiHidden/>
    <w:rsid w:val="00617998"/>
    <w:rPr>
      <w:rFonts w:eastAsiaTheme="majorEastAsia" w:cstheme="majorBidi"/>
      <w:i/>
      <w:iCs/>
      <w:color w:val="272727" w:themeColor="text1" w:themeTint="D8"/>
    </w:rPr>
  </w:style>
  <w:style w:type="character" w:customStyle="1" w:styleId="90">
    <w:name w:val="כותרת 9 תו"/>
    <w:basedOn w:val="a0"/>
    <w:link w:val="9"/>
    <w:uiPriority w:val="9"/>
    <w:semiHidden/>
    <w:rsid w:val="00617998"/>
    <w:rPr>
      <w:rFonts w:eastAsiaTheme="majorEastAsia" w:cstheme="majorBidi"/>
      <w:color w:val="272727" w:themeColor="text1" w:themeTint="D8"/>
    </w:rPr>
  </w:style>
  <w:style w:type="paragraph" w:styleId="a3">
    <w:name w:val="Title"/>
    <w:basedOn w:val="a"/>
    <w:next w:val="a"/>
    <w:link w:val="a4"/>
    <w:uiPriority w:val="10"/>
    <w:qFormat/>
    <w:rsid w:val="00617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179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799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1799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17998"/>
    <w:pPr>
      <w:spacing w:before="160"/>
      <w:jc w:val="center"/>
    </w:pPr>
    <w:rPr>
      <w:i/>
      <w:iCs/>
      <w:color w:val="404040" w:themeColor="text1" w:themeTint="BF"/>
    </w:rPr>
  </w:style>
  <w:style w:type="character" w:customStyle="1" w:styleId="a8">
    <w:name w:val="ציטוט תו"/>
    <w:basedOn w:val="a0"/>
    <w:link w:val="a7"/>
    <w:uiPriority w:val="29"/>
    <w:rsid w:val="00617998"/>
    <w:rPr>
      <w:i/>
      <w:iCs/>
      <w:color w:val="404040" w:themeColor="text1" w:themeTint="BF"/>
    </w:rPr>
  </w:style>
  <w:style w:type="paragraph" w:styleId="a9">
    <w:name w:val="List Paragraph"/>
    <w:basedOn w:val="a"/>
    <w:uiPriority w:val="34"/>
    <w:qFormat/>
    <w:rsid w:val="00617998"/>
    <w:pPr>
      <w:ind w:left="720"/>
      <w:contextualSpacing/>
    </w:pPr>
  </w:style>
  <w:style w:type="character" w:styleId="aa">
    <w:name w:val="Intense Emphasis"/>
    <w:basedOn w:val="a0"/>
    <w:uiPriority w:val="21"/>
    <w:qFormat/>
    <w:rsid w:val="00617998"/>
    <w:rPr>
      <w:i/>
      <w:iCs/>
      <w:color w:val="0F4761" w:themeColor="accent1" w:themeShade="BF"/>
    </w:rPr>
  </w:style>
  <w:style w:type="paragraph" w:styleId="ab">
    <w:name w:val="Intense Quote"/>
    <w:basedOn w:val="a"/>
    <w:next w:val="a"/>
    <w:link w:val="ac"/>
    <w:uiPriority w:val="30"/>
    <w:qFormat/>
    <w:rsid w:val="00617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17998"/>
    <w:rPr>
      <w:i/>
      <w:iCs/>
      <w:color w:val="0F4761" w:themeColor="accent1" w:themeShade="BF"/>
    </w:rPr>
  </w:style>
  <w:style w:type="character" w:styleId="ad">
    <w:name w:val="Intense Reference"/>
    <w:basedOn w:val="a0"/>
    <w:uiPriority w:val="32"/>
    <w:qFormat/>
    <w:rsid w:val="006179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1021</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