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191F" w:rsidRPr="00863CCE" w:rsidRDefault="000B191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5"/>
      <w:r w:rsidRPr="00863CCE">
        <w:rPr>
          <w:rFonts w:ascii="Keren" w:eastAsia="Times New Roman" w:hAnsi="Keren" w:cs="David"/>
          <w:b/>
          <w:bCs/>
          <w:sz w:val="26"/>
          <w:szCs w:val="24"/>
          <w:rtl/>
          <w:lang w:eastAsia="he-IL"/>
          <w14:ligatures w14:val="none"/>
        </w:rPr>
        <w:t>דורש אל המתים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"דורש אל המתים:ערך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B191F" w:rsidRPr="00863CCE" w:rsidRDefault="000B191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איסור שאלת עתידות ונסתרות מהמתים.</w:t>
      </w:r>
    </w:p>
    <w:p w:rsidR="000B191F" w:rsidRPr="00863CCE" w:rsidRDefault="000B191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אסור לדרוש אל המתים שנאמר "</w:t>
      </w:r>
      <w:r w:rsidRPr="00863CCE">
        <w:rPr>
          <w:rFonts w:ascii="Keren" w:eastAsia="Times New Roman" w:hAnsi="Keren" w:cs="David"/>
          <w:sz w:val="20"/>
          <w:szCs w:val="20"/>
          <w:rtl/>
          <w:lang w:eastAsia="he-IL"/>
          <w14:ligatures w14:val="none"/>
        </w:rPr>
        <w:t>לֹא יִמָּצֵא בְךָ... וְשֹׁאֵל אוֹב וְיִדְּעֹנִי וְדֹרֵשׁ אֶל הַמֵּתִים</w:t>
      </w:r>
      <w:r w:rsidRPr="00863CCE">
        <w:rPr>
          <w:rFonts w:ascii="Keren" w:eastAsia="Times New Roman" w:hAnsi="Keren" w:cs="David"/>
          <w:szCs w:val="20"/>
          <w:rtl/>
          <w:lang w:eastAsia="he-IL"/>
          <w14:ligatures w14:val="none"/>
        </w:rPr>
        <w:t xml:space="preserve">" (דברים יח, י – יא). </w:t>
      </w:r>
    </w:p>
    <w:p w:rsidR="000B191F" w:rsidRPr="00863CCE" w:rsidRDefault="000B191F"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איזהו דורש אל המתים זה המרעיב את עצמו והולך ולן בבית הקברות כדי שיבא מת בחלום ויודיעו מה ששאל עליו, ויש אחרים שהם לובשים מלבושים ידועים ואומרים דברים ומקטירין קטרת ידועה וישנים לבדם כדי שיבא מת פלוני ויספר עמו בחלום. כללו של דבר כל העושה כדי שיבא המת ויודיעו לוקה, שנאמר לא ימצא בך מעביר וגו' ודורש אל המתים (רמב"ם הלכות עבודת כוכבים פרק יא הלכה יג).</w:t>
      </w:r>
    </w:p>
    <w:p w:rsidR="000B191F" w:rsidRPr="00863CCE" w:rsidRDefault="000B191F"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ההולכים לבית הקברות לבקר קברי אבות וקברי צדיקים, אל ישימו מגמתם כנגד המתים הקבורים שם, שלא יראה כדורש אל המתים. אלא להתפלל שם לה' לבדו במקום שתהא תפלתו נשמעת. ויבקש מה' יתברך שיתן עליו רחמים בזכות הצדיקים שוכני עפר (משנה ברורה סוף סימן תקפא). </w:t>
      </w:r>
    </w:p>
    <w:p w:rsidR="00D5072B" w:rsidRDefault="000B191F">
      <w:r w:rsidRPr="00863CCE">
        <w:rPr>
          <w:rFonts w:ascii="Keren" w:eastAsia="Times New Roman" w:hAnsi="Keren" w:cs="David"/>
          <w:szCs w:val="20"/>
          <w:rtl/>
          <w:lang w:eastAsia="he-IL"/>
          <w14:ligatures w14:val="none"/>
        </w:rPr>
        <w:t xml:space="preserve">אמנם יש מהפוסקים האחרונים שסוברים שאין איסור דורש אל המתים אפילו כשמבקשים מהמתים שיתפללו על החיים. והוכיחו זאת מהגמרא (תענית טז, א) שבתענית ציבור על הגשמים יוצאים לבית הקברות כדי שיבקשו עלינו המתים רחמים. וכן הוכיחו מכלב בן יפונה שהלך ונשתטח על קברי האבות ואמר להם "אבותי בקשו עלי רחמים שאנצל מעצת מרגלים" (סוטה לד, ב). גם מספר הזהר (ויקרא עא, ב) מפורש שאין בזה משום דורש אל המתים. וכן פסק להלכה בילקוט יוסף (סימן מ, י). וע"ע בגשר החיים פרק כט, ט; וביתר הרחבה בחלק שני פרק כו. ע"ע </w:t>
      </w:r>
      <w:r w:rsidRPr="00863CCE">
        <w:rPr>
          <w:rFonts w:ascii="Keren" w:eastAsia="Times New Roman" w:hAnsi="Keren" w:cs="David"/>
          <w:b/>
          <w:bCs/>
          <w:szCs w:val="20"/>
          <w:rtl/>
          <w:lang w:eastAsia="he-IL"/>
          <w14:ligatures w14:val="none"/>
        </w:rPr>
        <w:t>אוב. קברי אבות וקברי צדיקים.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1F"/>
    <w:rsid w:val="000B191F"/>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56F4E-1887-4DE5-8B72-6E2B3E9D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1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1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191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19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19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19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19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19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19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B191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B191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B191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B191F"/>
    <w:rPr>
      <w:rFonts w:eastAsiaTheme="majorEastAsia" w:cstheme="majorBidi"/>
      <w:i/>
      <w:iCs/>
      <w:color w:val="0F4761" w:themeColor="accent1" w:themeShade="BF"/>
    </w:rPr>
  </w:style>
  <w:style w:type="character" w:customStyle="1" w:styleId="50">
    <w:name w:val="כותרת 5 תו"/>
    <w:basedOn w:val="a0"/>
    <w:link w:val="5"/>
    <w:uiPriority w:val="9"/>
    <w:semiHidden/>
    <w:rsid w:val="000B191F"/>
    <w:rPr>
      <w:rFonts w:eastAsiaTheme="majorEastAsia" w:cstheme="majorBidi"/>
      <w:color w:val="0F4761" w:themeColor="accent1" w:themeShade="BF"/>
    </w:rPr>
  </w:style>
  <w:style w:type="character" w:customStyle="1" w:styleId="60">
    <w:name w:val="כותרת 6 תו"/>
    <w:basedOn w:val="a0"/>
    <w:link w:val="6"/>
    <w:uiPriority w:val="9"/>
    <w:semiHidden/>
    <w:rsid w:val="000B191F"/>
    <w:rPr>
      <w:rFonts w:eastAsiaTheme="majorEastAsia" w:cstheme="majorBidi"/>
      <w:i/>
      <w:iCs/>
      <w:color w:val="595959" w:themeColor="text1" w:themeTint="A6"/>
    </w:rPr>
  </w:style>
  <w:style w:type="character" w:customStyle="1" w:styleId="70">
    <w:name w:val="כותרת 7 תו"/>
    <w:basedOn w:val="a0"/>
    <w:link w:val="7"/>
    <w:uiPriority w:val="9"/>
    <w:semiHidden/>
    <w:rsid w:val="000B191F"/>
    <w:rPr>
      <w:rFonts w:eastAsiaTheme="majorEastAsia" w:cstheme="majorBidi"/>
      <w:color w:val="595959" w:themeColor="text1" w:themeTint="A6"/>
    </w:rPr>
  </w:style>
  <w:style w:type="character" w:customStyle="1" w:styleId="80">
    <w:name w:val="כותרת 8 תו"/>
    <w:basedOn w:val="a0"/>
    <w:link w:val="8"/>
    <w:uiPriority w:val="9"/>
    <w:semiHidden/>
    <w:rsid w:val="000B191F"/>
    <w:rPr>
      <w:rFonts w:eastAsiaTheme="majorEastAsia" w:cstheme="majorBidi"/>
      <w:i/>
      <w:iCs/>
      <w:color w:val="272727" w:themeColor="text1" w:themeTint="D8"/>
    </w:rPr>
  </w:style>
  <w:style w:type="character" w:customStyle="1" w:styleId="90">
    <w:name w:val="כותרת 9 תו"/>
    <w:basedOn w:val="a0"/>
    <w:link w:val="9"/>
    <w:uiPriority w:val="9"/>
    <w:semiHidden/>
    <w:rsid w:val="000B191F"/>
    <w:rPr>
      <w:rFonts w:eastAsiaTheme="majorEastAsia" w:cstheme="majorBidi"/>
      <w:color w:val="272727" w:themeColor="text1" w:themeTint="D8"/>
    </w:rPr>
  </w:style>
  <w:style w:type="paragraph" w:styleId="a3">
    <w:name w:val="Title"/>
    <w:basedOn w:val="a"/>
    <w:next w:val="a"/>
    <w:link w:val="a4"/>
    <w:uiPriority w:val="10"/>
    <w:qFormat/>
    <w:rsid w:val="000B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B19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91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B191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191F"/>
    <w:pPr>
      <w:spacing w:before="160"/>
      <w:jc w:val="center"/>
    </w:pPr>
    <w:rPr>
      <w:i/>
      <w:iCs/>
      <w:color w:val="404040" w:themeColor="text1" w:themeTint="BF"/>
    </w:rPr>
  </w:style>
  <w:style w:type="character" w:customStyle="1" w:styleId="a8">
    <w:name w:val="ציטוט תו"/>
    <w:basedOn w:val="a0"/>
    <w:link w:val="a7"/>
    <w:uiPriority w:val="29"/>
    <w:rsid w:val="000B191F"/>
    <w:rPr>
      <w:i/>
      <w:iCs/>
      <w:color w:val="404040" w:themeColor="text1" w:themeTint="BF"/>
    </w:rPr>
  </w:style>
  <w:style w:type="paragraph" w:styleId="a9">
    <w:name w:val="List Paragraph"/>
    <w:basedOn w:val="a"/>
    <w:uiPriority w:val="34"/>
    <w:qFormat/>
    <w:rsid w:val="000B191F"/>
    <w:pPr>
      <w:ind w:left="720"/>
      <w:contextualSpacing/>
    </w:pPr>
  </w:style>
  <w:style w:type="character" w:styleId="aa">
    <w:name w:val="Intense Emphasis"/>
    <w:basedOn w:val="a0"/>
    <w:uiPriority w:val="21"/>
    <w:qFormat/>
    <w:rsid w:val="000B191F"/>
    <w:rPr>
      <w:i/>
      <w:iCs/>
      <w:color w:val="0F4761" w:themeColor="accent1" w:themeShade="BF"/>
    </w:rPr>
  </w:style>
  <w:style w:type="paragraph" w:styleId="ab">
    <w:name w:val="Intense Quote"/>
    <w:basedOn w:val="a"/>
    <w:next w:val="a"/>
    <w:link w:val="ac"/>
    <w:uiPriority w:val="30"/>
    <w:qFormat/>
    <w:rsid w:val="000B1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B191F"/>
    <w:rPr>
      <w:i/>
      <w:iCs/>
      <w:color w:val="0F4761" w:themeColor="accent1" w:themeShade="BF"/>
    </w:rPr>
  </w:style>
  <w:style w:type="character" w:styleId="ad">
    <w:name w:val="Intense Reference"/>
    <w:basedOn w:val="a0"/>
    <w:uiPriority w:val="32"/>
    <w:qFormat/>
    <w:rsid w:val="000B1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Words>
  <Characters>1097</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