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7F5C" w:rsidRPr="00863CCE" w:rsidRDefault="007A7F5C" w:rsidP="00863CCE">
      <w:pPr>
        <w:autoSpaceDE w:val="0"/>
        <w:autoSpaceDN w:val="0"/>
        <w:adjustRightInd w:val="0"/>
        <w:spacing w:after="0" w:line="360" w:lineRule="auto"/>
        <w:jc w:val="both"/>
        <w:rPr>
          <w:rFonts w:ascii="Keren" w:eastAsia="Times New Roman" w:hAnsi="Keren" w:cs="David"/>
          <w:b/>
          <w:bCs/>
          <w:sz w:val="28"/>
          <w:szCs w:val="24"/>
          <w:rtl/>
          <w:lang w:eastAsia="he-IL"/>
          <w14:ligatures w14:val="none"/>
        </w:rPr>
      </w:pPr>
      <w:r w:rsidRPr="00863CCE">
        <w:rPr>
          <w:rFonts w:ascii="Keren" w:eastAsia="Times New Roman" w:hAnsi="Keren" w:cs="David"/>
          <w:b/>
          <w:bCs/>
          <w:sz w:val="28"/>
          <w:szCs w:val="24"/>
          <w:rtl/>
          <w:lang w:eastAsia="he-IL"/>
          <w14:ligatures w14:val="none"/>
        </w:rPr>
        <w:t>דינו של אדם ביום פטירתו</w:t>
      </w:r>
      <w:r w:rsidRPr="00863CCE">
        <w:rPr>
          <w:rFonts w:ascii="Keren" w:eastAsia="Times New Roman" w:hAnsi="Keren" w:cs="David"/>
          <w:b/>
          <w:bCs/>
          <w:sz w:val="28"/>
          <w:szCs w:val="24"/>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b/>
          <w:bCs/>
          <w:sz w:val="28"/>
          <w:szCs w:val="24"/>
          <w:rtl/>
          <w:lang w:eastAsia="he-IL"/>
          <w14:ligatures w14:val="none"/>
        </w:rPr>
        <w:instrText>דינו של אדם ביום פטירתו:ערך באוצר המושגים</w:instrText>
      </w:r>
      <w:r w:rsidRPr="00863CCE">
        <w:rPr>
          <w:rFonts w:ascii="Keren" w:eastAsia="Times New Roman" w:hAnsi="Keren" w:cs="David" w:hint="cs"/>
          <w:sz w:val="28"/>
          <w:szCs w:val="24"/>
          <w:lang w:eastAsia="he-IL"/>
          <w14:ligatures w14:val="none"/>
        </w:rPr>
        <w:instrText xml:space="preserve">" \b </w:instrText>
      </w:r>
      <w:r w:rsidRPr="00863CCE">
        <w:rPr>
          <w:rFonts w:ascii="Keren" w:eastAsia="Times New Roman" w:hAnsi="Keren" w:cs="David"/>
          <w:b/>
          <w:bCs/>
          <w:sz w:val="28"/>
          <w:szCs w:val="24"/>
          <w:rtl/>
          <w:lang w:eastAsia="he-IL"/>
          <w14:ligatures w14:val="none"/>
        </w:rPr>
        <w:fldChar w:fldCharType="end"/>
      </w:r>
    </w:p>
    <w:p w:rsidR="007A7F5C" w:rsidRPr="00863CCE" w:rsidRDefault="007A7F5C" w:rsidP="00863CCE">
      <w:pPr>
        <w:autoSpaceDE w:val="0"/>
        <w:autoSpaceDN w:val="0"/>
        <w:adjustRightInd w:val="0"/>
        <w:spacing w:after="0" w:line="360" w:lineRule="auto"/>
        <w:ind w:left="432"/>
        <w:jc w:val="both"/>
        <w:rPr>
          <w:rFonts w:ascii="Keren" w:eastAsia="Times New Roman" w:hAnsi="Keren" w:cs="David"/>
          <w:sz w:val="20"/>
          <w:szCs w:val="20"/>
          <w:lang w:eastAsia="he-IL"/>
          <w14:ligatures w14:val="none"/>
        </w:rPr>
      </w:pPr>
      <w:r w:rsidRPr="00863CCE">
        <w:rPr>
          <w:rFonts w:ascii="Keren" w:eastAsia="Times New Roman" w:hAnsi="Keren" w:cs="David"/>
          <w:sz w:val="20"/>
          <w:szCs w:val="20"/>
          <w:rtl/>
          <w:lang w:eastAsia="he-IL"/>
          <w14:ligatures w14:val="none"/>
        </w:rPr>
        <w:t xml:space="preserve">"צַדִּיק וְיָשָׁר הוּא" (דברים לב, ד), </w:t>
      </w:r>
      <w:r w:rsidRPr="00863CCE">
        <w:rPr>
          <w:rFonts w:ascii="Keren" w:eastAsia="Times New Roman" w:hAnsi="Keren" w:cs="David"/>
          <w:color w:val="000000"/>
          <w:sz w:val="20"/>
          <w:szCs w:val="20"/>
          <w:rtl/>
          <w:lang w:eastAsia="he-IL"/>
          <w14:ligatures w14:val="none"/>
        </w:rPr>
        <w:t xml:space="preserve">מלמד שבשעת פטירתו של אדם לבית עולמו כל מעשיו נפרטין לפניו, ואומרים לו: כך וכך עשית במקום פלוני ביום פלוני, והוא אומר: הן, ואומרים לו: חתום! וחותם, שנאמר </w:t>
      </w:r>
      <w:r w:rsidRPr="00863CCE">
        <w:rPr>
          <w:rFonts w:ascii="Keren" w:eastAsia="Times New Roman" w:hAnsi="Keren" w:cs="David"/>
          <w:sz w:val="20"/>
          <w:szCs w:val="20"/>
          <w:rtl/>
          <w:lang w:eastAsia="he-IL"/>
          <w14:ligatures w14:val="none"/>
        </w:rPr>
        <w:t>"בְּיַד כָּל אָדָם יַחְתּוֹם" (איוב לז, ז)</w:t>
      </w:r>
      <w:r w:rsidRPr="00863CCE">
        <w:rPr>
          <w:rFonts w:ascii="Keren" w:eastAsia="Times New Roman" w:hAnsi="Keren" w:cs="David"/>
          <w:color w:val="000000"/>
          <w:sz w:val="20"/>
          <w:szCs w:val="20"/>
          <w:rtl/>
          <w:lang w:eastAsia="he-IL"/>
          <w14:ligatures w14:val="none"/>
        </w:rPr>
        <w:t xml:space="preserve">. ולא עוד, אלא שמצדיק עליו את הדין ואומר להם: יפה דנתוני, לקיים מה שנאמר </w:t>
      </w:r>
      <w:r w:rsidRPr="00863CCE">
        <w:rPr>
          <w:rFonts w:ascii="Keren" w:eastAsia="Times New Roman" w:hAnsi="Keren" w:cs="David"/>
          <w:sz w:val="20"/>
          <w:szCs w:val="20"/>
          <w:rtl/>
          <w:lang w:eastAsia="he-IL"/>
          <w14:ligatures w14:val="none"/>
        </w:rPr>
        <w:t>"לְמַעַן תִּצְדַּק בְּדָבְרֶךָ" (תהלים נא, ו. מסכת תענית יא, א).</w:t>
      </w:r>
    </w:p>
    <w:p w:rsidR="007A7F5C" w:rsidRPr="00863CCE" w:rsidRDefault="007A7F5C" w:rsidP="00863CCE">
      <w:pPr>
        <w:autoSpaceDE w:val="0"/>
        <w:autoSpaceDN w:val="0"/>
        <w:adjustRightInd w:val="0"/>
        <w:spacing w:after="0" w:line="360" w:lineRule="auto"/>
        <w:ind w:left="432"/>
        <w:jc w:val="both"/>
        <w:rPr>
          <w:rFonts w:ascii="Keren" w:eastAsia="Times New Roman" w:hAnsi="Keren" w:cs="David"/>
          <w:sz w:val="20"/>
          <w:szCs w:val="20"/>
          <w:lang w:eastAsia="he-IL"/>
          <w14:ligatures w14:val="none"/>
        </w:rPr>
      </w:pPr>
      <w:r w:rsidRPr="00863CCE">
        <w:rPr>
          <w:rFonts w:ascii="Keren" w:eastAsia="Times New Roman" w:hAnsi="Keren" w:cs="David"/>
          <w:color w:val="000000"/>
          <w:sz w:val="20"/>
          <w:szCs w:val="20"/>
          <w:rtl/>
          <w:lang w:eastAsia="he-IL"/>
          <w14:ligatures w14:val="none"/>
        </w:rPr>
        <w:t>כשם ששוקלין זכיות אדם ועוונותיו בשעת מיתתו, כך בכל שנה ושנה שוקלין עוונות כל אחד ואחד מבאי העולם עם זכיותיו ביום טוב של ראש השנה...</w:t>
      </w:r>
      <w:r w:rsidRPr="00863CCE">
        <w:rPr>
          <w:rFonts w:ascii="Keren" w:eastAsia="Times New Roman" w:hAnsi="Keren" w:cs="David"/>
          <w:sz w:val="20"/>
          <w:szCs w:val="20"/>
          <w:rtl/>
          <w:lang w:eastAsia="he-IL"/>
          <w14:ligatures w14:val="none"/>
        </w:rPr>
        <w:t xml:space="preserve"> (רמב"ם הלכות תשובה פרק ג, ג).</w:t>
      </w:r>
    </w:p>
    <w:p w:rsidR="007A7F5C" w:rsidRPr="00863CCE" w:rsidRDefault="007A7F5C"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color w:val="000000"/>
          <w:sz w:val="20"/>
          <w:szCs w:val="20"/>
          <w:rtl/>
          <w:lang w:eastAsia="he-IL"/>
          <w14:ligatures w14:val="none"/>
        </w:rPr>
        <w:t>ועכשיו אנו צריכים לפרש מהו הדין הזה שאדם נידון בו, והלא אמרו חכמים ז"ל כי בשעת מיתתו של אדם נידון, כמו שאמרו בפרק קמא דתענית (יא, א) בשעת פטירתו של אדם כל מעשיו נפרטין לפניו ואומרים לו כך וכך עשית ביום פלוני והוא אומר הן וכו', ולא עוד אלא שמצדיק עליו את הדין ואומר יפה דנתוני וכו', וכן במקומות הרבה. ואם נאמר שאדם נידון בראש השנה ונחתם ביום הכיפורים, אם כן אין דינו בשעת מיתה אלא על מה שעשה מראש השנה עד יום המיתה, ורבותינו אומרים בפירוש שכל מעשיו נפרטין לפניו. עוד הזכירו חכמים שיום הדין הוא לעתיד לבא בזמן תחיית המתים כמו ששנינו (סנהדרין קז, ב) דור המבול אין להם חלק לעולם הבא ואין עומדין בדין, אנשי סדום אין להם חלק לעולם הבא אבל עומדין בדין. ויום הדין זה מזכירין אותו רבותינו ז"ל בהגדות ובמדרשים וקורין לו יום הדין הגדול...</w:t>
      </w:r>
    </w:p>
    <w:p w:rsidR="007A7F5C" w:rsidRPr="00863CCE" w:rsidRDefault="007A7F5C" w:rsidP="00863CCE">
      <w:pPr>
        <w:autoSpaceDE w:val="0"/>
        <w:autoSpaceDN w:val="0"/>
        <w:adjustRightInd w:val="0"/>
        <w:spacing w:after="0" w:line="360" w:lineRule="auto"/>
        <w:ind w:left="432"/>
        <w:jc w:val="both"/>
        <w:rPr>
          <w:rFonts w:ascii="Keren" w:eastAsia="Times New Roman" w:hAnsi="Keren" w:cs="David"/>
          <w:sz w:val="20"/>
          <w:szCs w:val="20"/>
          <w:lang w:eastAsia="he-IL"/>
          <w14:ligatures w14:val="none"/>
        </w:rPr>
      </w:pPr>
      <w:r w:rsidRPr="00863CCE">
        <w:rPr>
          <w:rFonts w:ascii="Keren" w:eastAsia="Times New Roman" w:hAnsi="Keren" w:cs="David"/>
          <w:color w:val="000000"/>
          <w:sz w:val="20"/>
          <w:szCs w:val="20"/>
          <w:rtl/>
          <w:lang w:eastAsia="he-IL"/>
          <w14:ligatures w14:val="none"/>
        </w:rPr>
        <w:t xml:space="preserve">אבל כך הוא הענין הזה, בראש השנה כל באי העולם עוברין לפניו ונידון כל אחד ואחד בעניני העולם הזה, אם זכה לתת לו חיים ושלום ועושר ונכסים וכבוד או נתחייב למות בשנה זו או ליסורין וצער ועוני. כללו של דבר על כל ענין שבגוף ושבעולם הזה כגון בני חיי ומזוני, אבל אינו נידון על הנפש אם תזכה לגן עדן ולחיי העולם הבא או תתחייב לגיהנם ואבדון... וכן בגמרא אמרו שלשה ספרים נפתחין בראש השנה צדיקים גמורים נכתבין ונחתמין לאלתר לחיים רשעים גמורין נכתבין ונחתמין לאלתר למיתה, הזכירו בכאן חיים ומיתה ולא אמרו לגיהנם ולחיי העולם הבא... כללו של דבר ראש השנה יום הדין הוא לעולם הזה, ושעת מיתתו של אדם הוא יום הדין שלו שהוא  נידון בנפשו על אותו עולם שהוא עולם הנשמות, וכל מעשיו נפרטין לפני בוראו יתברך, ואם תזכה נפשו לגן עדן העליון והתחתון ולאיזו מעלה ממנו, או תתחייב נפשו לגיהנם ויסורין הרבים ובאיזה דין תתחייב להיות נידונת בו, הרי למדנו יום הדין לגוף ויום הדין אחר לנפש. </w:t>
      </w:r>
    </w:p>
    <w:p w:rsidR="00D5072B" w:rsidRDefault="007A7F5C">
      <w:r w:rsidRPr="00863CCE">
        <w:rPr>
          <w:rFonts w:ascii="Keren" w:eastAsia="Times New Roman" w:hAnsi="Keren" w:cs="David"/>
          <w:color w:val="000000"/>
          <w:sz w:val="20"/>
          <w:szCs w:val="20"/>
          <w:rtl/>
          <w:lang w:eastAsia="he-IL"/>
          <w14:ligatures w14:val="none"/>
        </w:rPr>
        <w:t xml:space="preserve">עוד יש יום דין אחר שהוא יום דין לשניהם לגוף ולנפש, והוא שהנביאים מזכירין אותו ומפליגין עליו כענין שנאמר </w:t>
      </w:r>
      <w:r w:rsidRPr="00863CCE">
        <w:rPr>
          <w:rFonts w:ascii="Keren" w:eastAsia="Times New Roman" w:hAnsi="Keren" w:cs="David"/>
          <w:sz w:val="20"/>
          <w:szCs w:val="20"/>
          <w:rtl/>
          <w:lang w:eastAsia="he-IL"/>
          <w14:ligatures w14:val="none"/>
        </w:rPr>
        <w:t xml:space="preserve">"הִנֵּה הַיּוֹם בָּא בֹּעֵר כַּתַּנּוּר וְהָיוּ כָל זֵדִים וְכָל עֹשֵׂה רִשְׁעָה קַשׁ וְלִהַט אֹתָם הַיּוֹם" </w:t>
      </w:r>
      <w:r w:rsidRPr="00863CCE">
        <w:rPr>
          <w:rFonts w:ascii="Keren" w:eastAsia="Times New Roman" w:hAnsi="Keren" w:cs="David"/>
          <w:color w:val="000000"/>
          <w:sz w:val="20"/>
          <w:szCs w:val="20"/>
          <w:rtl/>
          <w:lang w:eastAsia="he-IL"/>
          <w14:ligatures w14:val="none"/>
        </w:rPr>
        <w:t>וגו' (מלאכי ג, יט), ואומר "</w:t>
      </w:r>
      <w:r w:rsidRPr="00863CCE">
        <w:rPr>
          <w:rFonts w:ascii="Keren" w:eastAsia="Times New Roman" w:hAnsi="Keren" w:cs="David"/>
          <w:sz w:val="20"/>
          <w:szCs w:val="20"/>
          <w:rtl/>
          <w:lang w:eastAsia="he-IL"/>
          <w14:ligatures w14:val="none"/>
        </w:rPr>
        <w:t>הִנֵּה אָנֹכִי שֹׁלֵחַ לָכֶם אֵת אֵלִיָּה הַנָּבִיא לִפְנֵי בּוֹא יוֹם ה' הַגָּדוֹל וְהַנּוֹרָא" (שם, כג)</w:t>
      </w:r>
      <w:r w:rsidRPr="00863CCE">
        <w:rPr>
          <w:rFonts w:ascii="Keren" w:eastAsia="Times New Roman" w:hAnsi="Keren" w:cs="David"/>
          <w:color w:val="000000"/>
          <w:sz w:val="20"/>
          <w:szCs w:val="20"/>
          <w:rtl/>
          <w:lang w:eastAsia="he-IL"/>
          <w14:ligatures w14:val="none"/>
        </w:rPr>
        <w:t xml:space="preserve">, והיום הזה הוא בתחילת תחיית המתים והוא הנקרא יום הדין הגדול, וכל באי העולם שמבראשית נידונין בו בגוף ובנפש, אם ראוי זה לתחיית המתים ולנועם הגוף והנפש בכל אותן הזמנים המתגלגלין ובאין אחרי כן, ולאי זו מעלה יזכה מהם, או יתחייב זה שלא יחיה וישאר בגיהנם במקום שהוא שם, או שיכפל עליו עונש יתר ממדה רעה לקשה ממנה, וזו היא מה שהזכירו במשנה (סנהדרין קז, ב) אין עומדין בדין ועומדין בדין, והזכירו בברייתא (ראש השנה טז, ב) שלש כיתות ליום הדין. צדיקים גמורים נכתבים ונחתמים לאלתר לחיי העולם הבא ורשעים גמורים נכתבים ונחתמין לאלתר לגיהנם... והכתוב אומר (דניאל יב, ב) </w:t>
      </w:r>
      <w:r w:rsidRPr="00863CCE">
        <w:rPr>
          <w:rFonts w:ascii="Keren" w:eastAsia="Times New Roman" w:hAnsi="Keren" w:cs="David"/>
          <w:sz w:val="20"/>
          <w:szCs w:val="20"/>
          <w:rtl/>
          <w:lang w:eastAsia="he-IL"/>
          <w14:ligatures w14:val="none"/>
        </w:rPr>
        <w:t xml:space="preserve">וְרַבִּים מִיְּשֵׁנֵי אַדְמַת עָפָר יָקִיצוּ אֵלֶּה לְחַיֵּי עוֹלָם </w:t>
      </w:r>
      <w:r w:rsidRPr="00863CCE">
        <w:rPr>
          <w:rFonts w:ascii="Keren" w:eastAsia="Times New Roman" w:hAnsi="Keren" w:cs="David"/>
          <w:color w:val="000000"/>
          <w:sz w:val="20"/>
          <w:szCs w:val="20"/>
          <w:rtl/>
          <w:lang w:eastAsia="he-IL"/>
          <w14:ligatures w14:val="none"/>
        </w:rPr>
        <w:t xml:space="preserve">וגו'. והרמב"ם ז"ל כתב בהלכות תשובה כלשון הזה "כשם ששוקלים עונות האדם וזכיותיו בשעת מיתתו, כך שוקלין עונות כל אחד ואחד מבאי העולם עם זכיותיו ביום טוב של ראש השנה", וכך כתב עוד הבריתא של שלש כתות הן ליום הדין עם הדין הזה של ראש השנה, ונראה מדבריו שלא דקדק בכך. </w:t>
      </w:r>
      <w:r w:rsidRPr="00863CCE">
        <w:rPr>
          <w:rFonts w:ascii="Keren" w:eastAsia="Times New Roman" w:hAnsi="Keren" w:cs="David"/>
          <w:sz w:val="20"/>
          <w:szCs w:val="20"/>
          <w:rtl/>
          <w:lang w:eastAsia="he-IL"/>
          <w14:ligatures w14:val="none"/>
        </w:rPr>
        <w:t xml:space="preserve">(דרשת הרמב"ן לראש השנה, מובאת בכתבי רמב"ן חלק ראשון, מעמוד רכא). ע"ע </w:t>
      </w:r>
      <w:r w:rsidRPr="00863CCE">
        <w:rPr>
          <w:rFonts w:ascii="Keren" w:eastAsia="Times New Roman" w:hAnsi="Keren" w:cs="David"/>
          <w:b/>
          <w:bCs/>
          <w:sz w:val="20"/>
          <w:szCs w:val="20"/>
          <w:rtl/>
          <w:lang w:eastAsia="he-IL"/>
          <w14:ligatures w14:val="none"/>
        </w:rPr>
        <w:t>תחיית המתים.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F5C"/>
    <w:rsid w:val="000D0A23"/>
    <w:rsid w:val="002C1211"/>
    <w:rsid w:val="005C4B14"/>
    <w:rsid w:val="007A7F5C"/>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005F62-CB33-4ACF-8BB6-1A0A8780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A7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A7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A7F5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A7F5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A7F5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7F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7F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7F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7F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A7F5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A7F5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A7F5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A7F5C"/>
    <w:rPr>
      <w:rFonts w:eastAsiaTheme="majorEastAsia" w:cstheme="majorBidi"/>
      <w:i/>
      <w:iCs/>
      <w:color w:val="0F4761" w:themeColor="accent1" w:themeShade="BF"/>
    </w:rPr>
  </w:style>
  <w:style w:type="character" w:customStyle="1" w:styleId="50">
    <w:name w:val="כותרת 5 תו"/>
    <w:basedOn w:val="a0"/>
    <w:link w:val="5"/>
    <w:uiPriority w:val="9"/>
    <w:semiHidden/>
    <w:rsid w:val="007A7F5C"/>
    <w:rPr>
      <w:rFonts w:eastAsiaTheme="majorEastAsia" w:cstheme="majorBidi"/>
      <w:color w:val="0F4761" w:themeColor="accent1" w:themeShade="BF"/>
    </w:rPr>
  </w:style>
  <w:style w:type="character" w:customStyle="1" w:styleId="60">
    <w:name w:val="כותרת 6 תו"/>
    <w:basedOn w:val="a0"/>
    <w:link w:val="6"/>
    <w:uiPriority w:val="9"/>
    <w:semiHidden/>
    <w:rsid w:val="007A7F5C"/>
    <w:rPr>
      <w:rFonts w:eastAsiaTheme="majorEastAsia" w:cstheme="majorBidi"/>
      <w:i/>
      <w:iCs/>
      <w:color w:val="595959" w:themeColor="text1" w:themeTint="A6"/>
    </w:rPr>
  </w:style>
  <w:style w:type="character" w:customStyle="1" w:styleId="70">
    <w:name w:val="כותרת 7 תו"/>
    <w:basedOn w:val="a0"/>
    <w:link w:val="7"/>
    <w:uiPriority w:val="9"/>
    <w:semiHidden/>
    <w:rsid w:val="007A7F5C"/>
    <w:rPr>
      <w:rFonts w:eastAsiaTheme="majorEastAsia" w:cstheme="majorBidi"/>
      <w:color w:val="595959" w:themeColor="text1" w:themeTint="A6"/>
    </w:rPr>
  </w:style>
  <w:style w:type="character" w:customStyle="1" w:styleId="80">
    <w:name w:val="כותרת 8 תו"/>
    <w:basedOn w:val="a0"/>
    <w:link w:val="8"/>
    <w:uiPriority w:val="9"/>
    <w:semiHidden/>
    <w:rsid w:val="007A7F5C"/>
    <w:rPr>
      <w:rFonts w:eastAsiaTheme="majorEastAsia" w:cstheme="majorBidi"/>
      <w:i/>
      <w:iCs/>
      <w:color w:val="272727" w:themeColor="text1" w:themeTint="D8"/>
    </w:rPr>
  </w:style>
  <w:style w:type="character" w:customStyle="1" w:styleId="90">
    <w:name w:val="כותרת 9 תו"/>
    <w:basedOn w:val="a0"/>
    <w:link w:val="9"/>
    <w:uiPriority w:val="9"/>
    <w:semiHidden/>
    <w:rsid w:val="007A7F5C"/>
    <w:rPr>
      <w:rFonts w:eastAsiaTheme="majorEastAsia" w:cstheme="majorBidi"/>
      <w:color w:val="272727" w:themeColor="text1" w:themeTint="D8"/>
    </w:rPr>
  </w:style>
  <w:style w:type="paragraph" w:styleId="a3">
    <w:name w:val="Title"/>
    <w:basedOn w:val="a"/>
    <w:next w:val="a"/>
    <w:link w:val="a4"/>
    <w:uiPriority w:val="10"/>
    <w:qFormat/>
    <w:rsid w:val="007A7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A7F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7F5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A7F5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A7F5C"/>
    <w:pPr>
      <w:spacing w:before="160"/>
      <w:jc w:val="center"/>
    </w:pPr>
    <w:rPr>
      <w:i/>
      <w:iCs/>
      <w:color w:val="404040" w:themeColor="text1" w:themeTint="BF"/>
    </w:rPr>
  </w:style>
  <w:style w:type="character" w:customStyle="1" w:styleId="a8">
    <w:name w:val="ציטוט תו"/>
    <w:basedOn w:val="a0"/>
    <w:link w:val="a7"/>
    <w:uiPriority w:val="29"/>
    <w:rsid w:val="007A7F5C"/>
    <w:rPr>
      <w:i/>
      <w:iCs/>
      <w:color w:val="404040" w:themeColor="text1" w:themeTint="BF"/>
    </w:rPr>
  </w:style>
  <w:style w:type="paragraph" w:styleId="a9">
    <w:name w:val="List Paragraph"/>
    <w:basedOn w:val="a"/>
    <w:uiPriority w:val="34"/>
    <w:qFormat/>
    <w:rsid w:val="007A7F5C"/>
    <w:pPr>
      <w:ind w:left="720"/>
      <w:contextualSpacing/>
    </w:pPr>
  </w:style>
  <w:style w:type="character" w:styleId="aa">
    <w:name w:val="Intense Emphasis"/>
    <w:basedOn w:val="a0"/>
    <w:uiPriority w:val="21"/>
    <w:qFormat/>
    <w:rsid w:val="007A7F5C"/>
    <w:rPr>
      <w:i/>
      <w:iCs/>
      <w:color w:val="0F4761" w:themeColor="accent1" w:themeShade="BF"/>
    </w:rPr>
  </w:style>
  <w:style w:type="paragraph" w:styleId="ab">
    <w:name w:val="Intense Quote"/>
    <w:basedOn w:val="a"/>
    <w:next w:val="a"/>
    <w:link w:val="ac"/>
    <w:uiPriority w:val="30"/>
    <w:qFormat/>
    <w:rsid w:val="007A7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A7F5C"/>
    <w:rPr>
      <w:i/>
      <w:iCs/>
      <w:color w:val="0F4761" w:themeColor="accent1" w:themeShade="BF"/>
    </w:rPr>
  </w:style>
  <w:style w:type="character" w:styleId="ad">
    <w:name w:val="Intense Reference"/>
    <w:basedOn w:val="a0"/>
    <w:uiPriority w:val="32"/>
    <w:qFormat/>
    <w:rsid w:val="007A7F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582</Words>
  <Characters>2911</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