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0215" w:rsidRPr="00863CCE" w:rsidRDefault="00100215"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98"/>
      <w:r w:rsidRPr="00863CCE">
        <w:rPr>
          <w:rFonts w:ascii="Keren" w:eastAsia="Times New Roman" w:hAnsi="Keren" w:cs="David"/>
          <w:b/>
          <w:bCs/>
          <w:sz w:val="26"/>
          <w:szCs w:val="24"/>
          <w:rtl/>
          <w:lang w:eastAsia="he-IL"/>
          <w14:ligatures w14:val="none"/>
        </w:rPr>
        <w:t>דרכי האמורי</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"דרכי האמורי:ערך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100215" w:rsidRPr="00863CCE" w:rsidRDefault="0010021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כינוי למנהגים ולאמונות טפלות של העמים עובדי האלילים. חלק ממנהגים אלו קשור במתים ובקבורתם, עקב עצמת החששות והרגשות סביב המות. </w:t>
      </w:r>
    </w:p>
    <w:p w:rsidR="00100215" w:rsidRPr="00863CCE" w:rsidRDefault="0010021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איסור על ישראל ללכת בדרכי האמורי או שאר עמים, שנאמר "לא תנחשו". כגון האומר נפלה פתי מידי או נפל מקלי מידי, איני הולך למקום פלוני. או הואיל ועבר שועל מימיני, איני יוצא מפתח ביתי היום, שאם אצא יפגעני אדם רמאי (סנהדרין סה, ב. רמב"ם הלכות עבודת כוכבים יא, ד). מעין האיסורים: דורש אל המתים. בעל אוב וידעוני. </w:t>
      </w:r>
    </w:p>
    <w:p w:rsidR="00100215" w:rsidRPr="00863CCE" w:rsidRDefault="00100215" w:rsidP="00863CCE">
      <w:pPr>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ודברים אלו כולן דברי שקר וכזב הן. והם שהטעו בהן עובדי כוכבים הקדמונים לעמי הארצות. ואין ראוי לישראל שהם חכמים מחוכמים להמשך בהבלים אלו ולא להעלות על לב שיש תועלת בהם (רמב"ם הלכות עבודת כוכבים פרק יא, טז). </w:t>
      </w:r>
    </w:p>
    <w:p w:rsidR="00100215" w:rsidRPr="00863CCE" w:rsidRDefault="00100215" w:rsidP="00863CCE">
      <w:pPr>
        <w:spacing w:after="0" w:line="360" w:lineRule="auto"/>
        <w:jc w:val="both"/>
        <w:rPr>
          <w:rFonts w:ascii="Times New Roman" w:eastAsia="Times New Roman" w:hAnsi="Times New Roman" w:cs="David"/>
          <w:sz w:val="20"/>
          <w:szCs w:val="24"/>
          <w:rtl/>
          <w:lang w:eastAsia="he-IL"/>
          <w14:ligatures w14:val="none"/>
        </w:rPr>
      </w:pPr>
      <w:r w:rsidRPr="00863CCE">
        <w:rPr>
          <w:rFonts w:ascii="Keren" w:eastAsia="Times New Roman" w:hAnsi="Keren" w:cs="David"/>
          <w:szCs w:val="20"/>
          <w:rtl/>
          <w:lang w:eastAsia="he-IL"/>
          <w14:ligatures w14:val="none"/>
        </w:rPr>
        <w:t>חכמים מנו פעולות המותרות שאין בהן חשש של דרכי האמורי:</w:t>
      </w:r>
    </w:p>
    <w:p w:rsidR="00100215" w:rsidRPr="00863CCE" w:rsidRDefault="00100215" w:rsidP="00863CCE">
      <w:pPr>
        <w:autoSpaceDE w:val="0"/>
        <w:autoSpaceDN w:val="0"/>
        <w:adjustRightInd w:val="0"/>
        <w:spacing w:after="0" w:line="360" w:lineRule="auto"/>
        <w:ind w:left="386"/>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חתן וכלה:שמתו, עושים להם חופה משום עגמת נפש</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 w:val="18"/>
          <w:szCs w:val="20"/>
          <w:rtl/>
          <w:lang w:eastAsia="he-IL"/>
          <w14:ligatures w14:val="none"/>
        </w:rPr>
        <w:fldChar w:fldCharType="end"/>
      </w:r>
      <w:r w:rsidRPr="00863CCE">
        <w:rPr>
          <w:rFonts w:ascii="Times New Roman" w:eastAsia="Times New Roman" w:hAnsi="Times New Roman" w:cs="David"/>
          <w:color w:val="000000"/>
          <w:sz w:val="18"/>
          <w:szCs w:val="20"/>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חופה:סמלית, לחתן וכלה שמתו, משום עגמת נפש</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 w:val="18"/>
          <w:szCs w:val="20"/>
          <w:lang w:eastAsia="he-IL"/>
          <w14:ligatures w14:val="none"/>
        </w:rPr>
        <w:fldChar w:fldCharType="end"/>
      </w:r>
      <w:r w:rsidRPr="00863CCE">
        <w:rPr>
          <w:rFonts w:ascii="Times New Roman" w:eastAsia="Times New Roman" w:hAnsi="Times New Roman" w:cs="David"/>
          <w:color w:val="000000"/>
          <w:sz w:val="18"/>
          <w:szCs w:val="20"/>
          <w:rtl/>
          <w:lang w:eastAsia="he-IL"/>
          <w14:ligatures w14:val="none"/>
        </w:rPr>
        <w:t>מתירין שערות לכלות ומגלין פניהם של חתנים ונותנין דיו וקולמוס בצדו ואין חוששין משום דרכי האמורי תולין מפתחו של מת ופנקסו של מת בארונו משום עגמת נפש. עושין חופות לחתנים וכלות ותולים בהם דברים שלא הביאו אוכל נפש כללו של דבר כל התלוי בחופתו של מת אסור בהנאה לפיכך אין תולין בו דברים שהביאו אוכל נפש שאין אוסרין אוכלין ואין מפסידין אותן שלא לצורך (טור ושלחן ערוך יורה דעה סימן שנ, מברייתא במסכת שמחות פרק ז).</w:t>
      </w:r>
    </w:p>
    <w:p w:rsidR="00100215" w:rsidRPr="00863CCE" w:rsidRDefault="00100215" w:rsidP="00863CCE">
      <w:pPr>
        <w:autoSpaceDE w:val="0"/>
        <w:autoSpaceDN w:val="0"/>
        <w:adjustRightInd w:val="0"/>
        <w:spacing w:after="0" w:line="360" w:lineRule="auto"/>
        <w:jc w:val="both"/>
        <w:rPr>
          <w:rFonts w:ascii="Times New Roman" w:eastAsia="Times New Roman" w:hAnsi="Times New Roman" w:cs="David"/>
          <w:sz w:val="16"/>
          <w:szCs w:val="20"/>
          <w:rtl/>
          <w:lang w:eastAsia="he-IL"/>
          <w14:ligatures w14:val="none"/>
        </w:rPr>
      </w:pPr>
      <w:r w:rsidRPr="00863CCE">
        <w:rPr>
          <w:rFonts w:ascii="Times New Roman" w:eastAsia="Times New Roman" w:hAnsi="Times New Roman" w:cs="David"/>
          <w:sz w:val="16"/>
          <w:szCs w:val="20"/>
          <w:rtl/>
          <w:lang w:eastAsia="he-IL"/>
          <w14:ligatures w14:val="none"/>
        </w:rPr>
        <w:t xml:space="preserve">גם פוסקי זמננו נזקקו לעניינים אלו: </w:t>
      </w:r>
    </w:p>
    <w:p w:rsidR="00100215" w:rsidRPr="00863CCE" w:rsidRDefault="00100215" w:rsidP="00863CCE">
      <w:pPr>
        <w:autoSpaceDE w:val="0"/>
        <w:autoSpaceDN w:val="0"/>
        <w:adjustRightInd w:val="0"/>
        <w:spacing w:after="0" w:line="360" w:lineRule="auto"/>
        <w:ind w:left="432"/>
        <w:jc w:val="both"/>
        <w:rPr>
          <w:rFonts w:ascii="Times New Roman" w:eastAsia="Times New Roman" w:hAnsi="Times New Roman" w:cs="David"/>
          <w:sz w:val="16"/>
          <w:szCs w:val="20"/>
          <w:rtl/>
          <w:lang w:eastAsia="he-IL"/>
          <w14:ligatures w14:val="none"/>
        </w:rPr>
      </w:pPr>
      <w:r w:rsidRPr="00863CCE">
        <w:rPr>
          <w:rFonts w:ascii="Times New Roman" w:eastAsia="Times New Roman" w:hAnsi="Times New Roman" w:cs="David"/>
          <w:sz w:val="16"/>
          <w:szCs w:val="20"/>
          <w:rtl/>
          <w:lang w:eastAsia="he-IL"/>
          <w14:ligatures w14:val="none"/>
        </w:rPr>
        <w:t>יש נוהגים שאחר שמת להם מת, מעמידים בבית קערה מלאה מים על קרקע עולם, עד תום שבעת ימי האבלות, ואצלו נר דלוק במשך כל שבעת ימי האבלות. ואין למחות בנוהגים כן, כיון שמצינו איזה טעם לזה. וכבר כתבו כמה פוסקים כל כהאי גוונא ליכא בהכי משום דרכי האמורי. והטעם, שהנר רומז לנשמה, נר ה' נשמת אדם. והשמן רומז להשפעה. והמים רומזים לחומר שנפסד, וכמו שכתוב "</w:t>
      </w:r>
      <w:r w:rsidRPr="00863CCE">
        <w:rPr>
          <w:rFonts w:ascii="Keren" w:eastAsia="Times New Roman" w:hAnsi="Keren" w:cs="David"/>
          <w:sz w:val="20"/>
          <w:szCs w:val="20"/>
          <w:rtl/>
          <w:lang w:eastAsia="he-IL"/>
          <w14:ligatures w14:val="none"/>
        </w:rPr>
        <w:t>כִּי מוֹת נָמוּת וְכַמַּיִם הַנִּגָּרִים אַרְצָה</w:t>
      </w:r>
      <w:r w:rsidRPr="00863CCE">
        <w:rPr>
          <w:rFonts w:ascii="Times New Roman" w:eastAsia="Times New Roman" w:hAnsi="Times New Roman" w:cs="David"/>
          <w:sz w:val="16"/>
          <w:szCs w:val="20"/>
          <w:rtl/>
          <w:lang w:eastAsia="he-IL"/>
          <w14:ligatures w14:val="none"/>
        </w:rPr>
        <w:t xml:space="preserve">" (שמואל ב', יד, יד), המשיל הכתוב הפסד החומר למים הניגרים. (ילקוט יוסף סימן כח, ה). </w:t>
      </w:r>
    </w:p>
    <w:p w:rsidR="00100215" w:rsidRPr="00863CCE" w:rsidRDefault="00100215"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 w:val="16"/>
          <w:szCs w:val="20"/>
          <w:rtl/>
          <w:lang w:eastAsia="he-IL"/>
          <w14:ligatures w14:val="none"/>
        </w:rPr>
        <w:t xml:space="preserve">ויש שקראו תגר על מנהג זה ולכן שב ואל תעשה עדיף (נטעי גבריאל חלק א, פרק צב, ד). </w:t>
      </w:r>
    </w:p>
    <w:p w:rsidR="00D5072B" w:rsidRDefault="00100215">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אוב. דורש אל המתים. קבורת תרנגול. שריפת המתים.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215"/>
    <w:rsid w:val="000D0A23"/>
    <w:rsid w:val="00100215"/>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C81242-DA98-47A2-A6E4-752A89253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00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00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0021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002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002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002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002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02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002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0021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0021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0021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00215"/>
    <w:rPr>
      <w:rFonts w:eastAsiaTheme="majorEastAsia" w:cstheme="majorBidi"/>
      <w:i/>
      <w:iCs/>
      <w:color w:val="0F4761" w:themeColor="accent1" w:themeShade="BF"/>
    </w:rPr>
  </w:style>
  <w:style w:type="character" w:customStyle="1" w:styleId="50">
    <w:name w:val="כותרת 5 תו"/>
    <w:basedOn w:val="a0"/>
    <w:link w:val="5"/>
    <w:uiPriority w:val="9"/>
    <w:semiHidden/>
    <w:rsid w:val="00100215"/>
    <w:rPr>
      <w:rFonts w:eastAsiaTheme="majorEastAsia" w:cstheme="majorBidi"/>
      <w:color w:val="0F4761" w:themeColor="accent1" w:themeShade="BF"/>
    </w:rPr>
  </w:style>
  <w:style w:type="character" w:customStyle="1" w:styleId="60">
    <w:name w:val="כותרת 6 תו"/>
    <w:basedOn w:val="a0"/>
    <w:link w:val="6"/>
    <w:uiPriority w:val="9"/>
    <w:semiHidden/>
    <w:rsid w:val="00100215"/>
    <w:rPr>
      <w:rFonts w:eastAsiaTheme="majorEastAsia" w:cstheme="majorBidi"/>
      <w:i/>
      <w:iCs/>
      <w:color w:val="595959" w:themeColor="text1" w:themeTint="A6"/>
    </w:rPr>
  </w:style>
  <w:style w:type="character" w:customStyle="1" w:styleId="70">
    <w:name w:val="כותרת 7 תו"/>
    <w:basedOn w:val="a0"/>
    <w:link w:val="7"/>
    <w:uiPriority w:val="9"/>
    <w:semiHidden/>
    <w:rsid w:val="00100215"/>
    <w:rPr>
      <w:rFonts w:eastAsiaTheme="majorEastAsia" w:cstheme="majorBidi"/>
      <w:color w:val="595959" w:themeColor="text1" w:themeTint="A6"/>
    </w:rPr>
  </w:style>
  <w:style w:type="character" w:customStyle="1" w:styleId="80">
    <w:name w:val="כותרת 8 תו"/>
    <w:basedOn w:val="a0"/>
    <w:link w:val="8"/>
    <w:uiPriority w:val="9"/>
    <w:semiHidden/>
    <w:rsid w:val="00100215"/>
    <w:rPr>
      <w:rFonts w:eastAsiaTheme="majorEastAsia" w:cstheme="majorBidi"/>
      <w:i/>
      <w:iCs/>
      <w:color w:val="272727" w:themeColor="text1" w:themeTint="D8"/>
    </w:rPr>
  </w:style>
  <w:style w:type="character" w:customStyle="1" w:styleId="90">
    <w:name w:val="כותרת 9 תו"/>
    <w:basedOn w:val="a0"/>
    <w:link w:val="9"/>
    <w:uiPriority w:val="9"/>
    <w:semiHidden/>
    <w:rsid w:val="00100215"/>
    <w:rPr>
      <w:rFonts w:eastAsiaTheme="majorEastAsia" w:cstheme="majorBidi"/>
      <w:color w:val="272727" w:themeColor="text1" w:themeTint="D8"/>
    </w:rPr>
  </w:style>
  <w:style w:type="paragraph" w:styleId="a3">
    <w:name w:val="Title"/>
    <w:basedOn w:val="a"/>
    <w:next w:val="a"/>
    <w:link w:val="a4"/>
    <w:uiPriority w:val="10"/>
    <w:qFormat/>
    <w:rsid w:val="00100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002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021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0021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00215"/>
    <w:pPr>
      <w:spacing w:before="160"/>
      <w:jc w:val="center"/>
    </w:pPr>
    <w:rPr>
      <w:i/>
      <w:iCs/>
      <w:color w:val="404040" w:themeColor="text1" w:themeTint="BF"/>
    </w:rPr>
  </w:style>
  <w:style w:type="character" w:customStyle="1" w:styleId="a8">
    <w:name w:val="ציטוט תו"/>
    <w:basedOn w:val="a0"/>
    <w:link w:val="a7"/>
    <w:uiPriority w:val="29"/>
    <w:rsid w:val="00100215"/>
    <w:rPr>
      <w:i/>
      <w:iCs/>
      <w:color w:val="404040" w:themeColor="text1" w:themeTint="BF"/>
    </w:rPr>
  </w:style>
  <w:style w:type="paragraph" w:styleId="a9">
    <w:name w:val="List Paragraph"/>
    <w:basedOn w:val="a"/>
    <w:uiPriority w:val="34"/>
    <w:qFormat/>
    <w:rsid w:val="00100215"/>
    <w:pPr>
      <w:ind w:left="720"/>
      <w:contextualSpacing/>
    </w:pPr>
  </w:style>
  <w:style w:type="character" w:styleId="aa">
    <w:name w:val="Intense Emphasis"/>
    <w:basedOn w:val="a0"/>
    <w:uiPriority w:val="21"/>
    <w:qFormat/>
    <w:rsid w:val="00100215"/>
    <w:rPr>
      <w:i/>
      <w:iCs/>
      <w:color w:val="0F4761" w:themeColor="accent1" w:themeShade="BF"/>
    </w:rPr>
  </w:style>
  <w:style w:type="paragraph" w:styleId="ab">
    <w:name w:val="Intense Quote"/>
    <w:basedOn w:val="a"/>
    <w:next w:val="a"/>
    <w:link w:val="ac"/>
    <w:uiPriority w:val="30"/>
    <w:qFormat/>
    <w:rsid w:val="00100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00215"/>
    <w:rPr>
      <w:i/>
      <w:iCs/>
      <w:color w:val="0F4761" w:themeColor="accent1" w:themeShade="BF"/>
    </w:rPr>
  </w:style>
  <w:style w:type="character" w:styleId="ad">
    <w:name w:val="Intense Reference"/>
    <w:basedOn w:val="a0"/>
    <w:uiPriority w:val="32"/>
    <w:qFormat/>
    <w:rsid w:val="00100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315</Words>
  <Characters>1577</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