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739F" w:rsidRPr="00863CCE" w:rsidRDefault="009D739F"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99"/>
      <w:r w:rsidRPr="00863CCE">
        <w:rPr>
          <w:rFonts w:ascii="Keren" w:eastAsia="Times New Roman" w:hAnsi="Keren" w:cs="David"/>
          <w:b/>
          <w:bCs/>
          <w:sz w:val="26"/>
          <w:szCs w:val="24"/>
          <w:rtl/>
          <w:lang w:eastAsia="he-IL"/>
          <w14:ligatures w14:val="none"/>
        </w:rPr>
        <w:t>דרכי שלום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"דרכי שלום:ערך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גוי:דרכי שלום עם הגויים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9D739F" w:rsidRPr="00863CCE" w:rsidRDefault="009D739F" w:rsidP="00863CCE">
      <w:pPr>
        <w:spacing w:after="0" w:line="360" w:lineRule="auto"/>
        <w:jc w:val="both"/>
        <w:rPr>
          <w:rFonts w:ascii="Times New Roman" w:eastAsia="Times New Roman" w:hAnsi="Times New Roman" w:cs="David"/>
          <w:sz w:val="20"/>
          <w:szCs w:val="24"/>
          <w:rtl/>
          <w:lang w:eastAsia="he-IL"/>
          <w14:ligatures w14:val="none"/>
        </w:rPr>
      </w:pPr>
      <w:r w:rsidRPr="00863CCE">
        <w:rPr>
          <w:rFonts w:ascii="Keren" w:eastAsia="Times New Roman" w:hAnsi="Keren" w:cs="David"/>
          <w:sz w:val="26"/>
          <w:szCs w:val="20"/>
          <w:rtl/>
          <w:lang w:eastAsia="he-IL"/>
          <w14:ligatures w14:val="none"/>
        </w:rPr>
        <w:t>מנהגים ומעשים שנהגו בהם כדי לשמור על השלום בין הבריות, בתוך עם ישראל וגם בין ישראל לעמים. הביטוי והמנהגים אינם בענייני קבורה ואבלות בלבד, אך להלן נמנה דרכי שלום שנהגו בהם בקבורה ובאבלות.</w:t>
      </w:r>
    </w:p>
    <w:p w:rsidR="009D739F" w:rsidRPr="00863CCE" w:rsidRDefault="009D739F"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תנו רבנן: מפרנסים עניי נכרים עם עניי ישראל, ומבקרין חולי נכרים עם חולי ישראל, וקוברין מתי נכרים עם מתי ישראל, מפני דרכי שלום (גיטין סא, א). </w:t>
      </w:r>
    </w:p>
    <w:p w:rsidR="009D739F" w:rsidRPr="00863CCE" w:rsidRDefault="009D739F" w:rsidP="00863CCE">
      <w:pPr>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ופירש רש"י: לא שיקברום בקבר ישראל, אלא שמשתדלים בקבורתם כמו שמשתדלים בקבורת ישראל. </w:t>
      </w:r>
    </w:p>
    <w:p w:rsidR="009D739F" w:rsidRPr="00863CCE" w:rsidRDefault="009D739F" w:rsidP="00863CCE">
      <w:pPr>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כך גם נפסק להלכה בשלחן ערוך: </w:t>
      </w:r>
    </w:p>
    <w:p w:rsidR="00D5072B" w:rsidRDefault="009D739F">
      <w:r w:rsidRPr="00863CCE">
        <w:rPr>
          <w:rFonts w:ascii="Times New Roman" w:eastAsia="Times New Roman" w:hAnsi="Times New Roman" w:cs="David"/>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גוי:לנחם אבלי גויים</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 w:val="18"/>
          <w:szCs w:val="20"/>
          <w:rtl/>
          <w:lang w:eastAsia="he-IL"/>
          <w14:ligatures w14:val="none"/>
        </w:rPr>
        <w:fldChar w:fldCharType="end"/>
      </w:r>
      <w:r w:rsidRPr="00863CCE">
        <w:rPr>
          <w:rFonts w:ascii="Times New Roman" w:eastAsia="Times New Roman" w:hAnsi="Times New Roman" w:cs="David"/>
          <w:sz w:val="18"/>
          <w:szCs w:val="20"/>
          <w:rtl/>
          <w:lang w:eastAsia="he-IL"/>
          <w14:ligatures w14:val="none"/>
        </w:rPr>
        <w:t xml:space="preserve">קוברים מתי גויים ומנחמים אבליהם מפני דרכי שלום (יורה דעה סימן שסז, א). ע"ע </w:t>
      </w:r>
      <w:r w:rsidRPr="00863CCE">
        <w:rPr>
          <w:rFonts w:ascii="Times New Roman" w:eastAsia="Times New Roman" w:hAnsi="Times New Roman" w:cs="David"/>
          <w:b/>
          <w:bCs/>
          <w:sz w:val="18"/>
          <w:szCs w:val="20"/>
          <w:rtl/>
          <w:lang w:eastAsia="he-IL"/>
          <w14:ligatures w14:val="none"/>
        </w:rPr>
        <w:t>מת גוי.</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39F"/>
    <w:rsid w:val="000D0A23"/>
    <w:rsid w:val="002C1211"/>
    <w:rsid w:val="005C4B14"/>
    <w:rsid w:val="009D739F"/>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DC9D05-30E6-4A44-9C25-F025BBDF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7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D7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D739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D739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D739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D73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D73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D73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D73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D739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D739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D739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D739F"/>
    <w:rPr>
      <w:rFonts w:eastAsiaTheme="majorEastAsia" w:cstheme="majorBidi"/>
      <w:i/>
      <w:iCs/>
      <w:color w:val="0F4761" w:themeColor="accent1" w:themeShade="BF"/>
    </w:rPr>
  </w:style>
  <w:style w:type="character" w:customStyle="1" w:styleId="50">
    <w:name w:val="כותרת 5 תו"/>
    <w:basedOn w:val="a0"/>
    <w:link w:val="5"/>
    <w:uiPriority w:val="9"/>
    <w:semiHidden/>
    <w:rsid w:val="009D739F"/>
    <w:rPr>
      <w:rFonts w:eastAsiaTheme="majorEastAsia" w:cstheme="majorBidi"/>
      <w:color w:val="0F4761" w:themeColor="accent1" w:themeShade="BF"/>
    </w:rPr>
  </w:style>
  <w:style w:type="character" w:customStyle="1" w:styleId="60">
    <w:name w:val="כותרת 6 תו"/>
    <w:basedOn w:val="a0"/>
    <w:link w:val="6"/>
    <w:uiPriority w:val="9"/>
    <w:semiHidden/>
    <w:rsid w:val="009D739F"/>
    <w:rPr>
      <w:rFonts w:eastAsiaTheme="majorEastAsia" w:cstheme="majorBidi"/>
      <w:i/>
      <w:iCs/>
      <w:color w:val="595959" w:themeColor="text1" w:themeTint="A6"/>
    </w:rPr>
  </w:style>
  <w:style w:type="character" w:customStyle="1" w:styleId="70">
    <w:name w:val="כותרת 7 תו"/>
    <w:basedOn w:val="a0"/>
    <w:link w:val="7"/>
    <w:uiPriority w:val="9"/>
    <w:semiHidden/>
    <w:rsid w:val="009D739F"/>
    <w:rPr>
      <w:rFonts w:eastAsiaTheme="majorEastAsia" w:cstheme="majorBidi"/>
      <w:color w:val="595959" w:themeColor="text1" w:themeTint="A6"/>
    </w:rPr>
  </w:style>
  <w:style w:type="character" w:customStyle="1" w:styleId="80">
    <w:name w:val="כותרת 8 תו"/>
    <w:basedOn w:val="a0"/>
    <w:link w:val="8"/>
    <w:uiPriority w:val="9"/>
    <w:semiHidden/>
    <w:rsid w:val="009D739F"/>
    <w:rPr>
      <w:rFonts w:eastAsiaTheme="majorEastAsia" w:cstheme="majorBidi"/>
      <w:i/>
      <w:iCs/>
      <w:color w:val="272727" w:themeColor="text1" w:themeTint="D8"/>
    </w:rPr>
  </w:style>
  <w:style w:type="character" w:customStyle="1" w:styleId="90">
    <w:name w:val="כותרת 9 תו"/>
    <w:basedOn w:val="a0"/>
    <w:link w:val="9"/>
    <w:uiPriority w:val="9"/>
    <w:semiHidden/>
    <w:rsid w:val="009D739F"/>
    <w:rPr>
      <w:rFonts w:eastAsiaTheme="majorEastAsia" w:cstheme="majorBidi"/>
      <w:color w:val="272727" w:themeColor="text1" w:themeTint="D8"/>
    </w:rPr>
  </w:style>
  <w:style w:type="paragraph" w:styleId="a3">
    <w:name w:val="Title"/>
    <w:basedOn w:val="a"/>
    <w:next w:val="a"/>
    <w:link w:val="a4"/>
    <w:uiPriority w:val="10"/>
    <w:qFormat/>
    <w:rsid w:val="009D7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D73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739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D739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D739F"/>
    <w:pPr>
      <w:spacing w:before="160"/>
      <w:jc w:val="center"/>
    </w:pPr>
    <w:rPr>
      <w:i/>
      <w:iCs/>
      <w:color w:val="404040" w:themeColor="text1" w:themeTint="BF"/>
    </w:rPr>
  </w:style>
  <w:style w:type="character" w:customStyle="1" w:styleId="a8">
    <w:name w:val="ציטוט תו"/>
    <w:basedOn w:val="a0"/>
    <w:link w:val="a7"/>
    <w:uiPriority w:val="29"/>
    <w:rsid w:val="009D739F"/>
    <w:rPr>
      <w:i/>
      <w:iCs/>
      <w:color w:val="404040" w:themeColor="text1" w:themeTint="BF"/>
    </w:rPr>
  </w:style>
  <w:style w:type="paragraph" w:styleId="a9">
    <w:name w:val="List Paragraph"/>
    <w:basedOn w:val="a"/>
    <w:uiPriority w:val="34"/>
    <w:qFormat/>
    <w:rsid w:val="009D739F"/>
    <w:pPr>
      <w:ind w:left="720"/>
      <w:contextualSpacing/>
    </w:pPr>
  </w:style>
  <w:style w:type="character" w:styleId="aa">
    <w:name w:val="Intense Emphasis"/>
    <w:basedOn w:val="a0"/>
    <w:uiPriority w:val="21"/>
    <w:qFormat/>
    <w:rsid w:val="009D739F"/>
    <w:rPr>
      <w:i/>
      <w:iCs/>
      <w:color w:val="0F4761" w:themeColor="accent1" w:themeShade="BF"/>
    </w:rPr>
  </w:style>
  <w:style w:type="paragraph" w:styleId="ab">
    <w:name w:val="Intense Quote"/>
    <w:basedOn w:val="a"/>
    <w:next w:val="a"/>
    <w:link w:val="ac"/>
    <w:uiPriority w:val="30"/>
    <w:qFormat/>
    <w:rsid w:val="009D7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D739F"/>
    <w:rPr>
      <w:i/>
      <w:iCs/>
      <w:color w:val="0F4761" w:themeColor="accent1" w:themeShade="BF"/>
    </w:rPr>
  </w:style>
  <w:style w:type="character" w:styleId="ad">
    <w:name w:val="Intense Reference"/>
    <w:basedOn w:val="a0"/>
    <w:uiPriority w:val="32"/>
    <w:qFormat/>
    <w:rsid w:val="009D73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529</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