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73ED" w:rsidRPr="00863CCE" w:rsidRDefault="005973ED"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01"/>
      <w:r w:rsidRPr="00863CCE">
        <w:rPr>
          <w:rFonts w:ascii="Keren" w:eastAsia="Times New Roman" w:hAnsi="Keren" w:cs="David"/>
          <w:b/>
          <w:bCs/>
          <w:sz w:val="26"/>
          <w:szCs w:val="24"/>
          <w:rtl/>
          <w:lang w:eastAsia="he-IL"/>
          <w14:ligatures w14:val="none"/>
        </w:rPr>
        <w:t>הזכרת נשמות</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"הזכרת נשמות:ערך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5973ED" w:rsidRPr="00863CCE" w:rsidRDefault="005973ED"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המנהג להתפלל בעד נשמות המתים ולנדב צדקה בעדם, אומרים </w:t>
      </w:r>
      <w:r w:rsidRPr="00863CCE">
        <w:rPr>
          <w:rFonts w:ascii="Keren" w:eastAsia="Times New Roman" w:hAnsi="Keren" w:cs="David"/>
          <w:b/>
          <w:bCs/>
          <w:szCs w:val="20"/>
          <w:rtl/>
          <w:lang w:eastAsia="he-IL"/>
          <w14:ligatures w14:val="none"/>
        </w:rPr>
        <w:t>אב הרחמים</w:t>
      </w:r>
      <w:r w:rsidRPr="00863CCE">
        <w:rPr>
          <w:rFonts w:ascii="Keren" w:eastAsia="Times New Roman" w:hAnsi="Keren" w:cs="David"/>
          <w:szCs w:val="20"/>
          <w:rtl/>
          <w:lang w:eastAsia="he-IL"/>
          <w14:ligatures w14:val="none"/>
        </w:rPr>
        <w:t xml:space="preserve"> שהיא הזכרה כללית על נשמות המתים על קידוש השם.</w:t>
      </w:r>
    </w:p>
    <w:p w:rsidR="005973ED" w:rsidRPr="00863CCE" w:rsidRDefault="005973ED" w:rsidP="00863CCE">
      <w:pPr>
        <w:spacing w:after="0" w:line="360" w:lineRule="auto"/>
        <w:jc w:val="both"/>
        <w:rPr>
          <w:rFonts w:ascii="Arial" w:eastAsia="Times New Roman" w:hAnsi="Arial" w:cs="Arial"/>
          <w:szCs w:val="20"/>
          <w:rtl/>
          <w:lang w:eastAsia="he-IL"/>
          <w14:ligatures w14:val="none"/>
        </w:rPr>
      </w:pPr>
      <w:r w:rsidRPr="00863CCE">
        <w:rPr>
          <w:rFonts w:ascii="Keren" w:eastAsia="Times New Roman" w:hAnsi="Keren" w:cs="David"/>
          <w:szCs w:val="20"/>
          <w:rtl/>
          <w:lang w:eastAsia="he-IL"/>
          <w14:ligatures w14:val="none"/>
        </w:rPr>
        <w:t>מקור למנהג מופיע בירושלמי (בבא קמא פ"א ה"ה) על המשנה - ולא יעורר על מתו ולא יספידנו, איזהו עירור? מזכירו בין המתים. במדרש תנחומא פרשת האזינו: "לכך רגילים להזכיר המתים בשבת, שלא ישובו לגיהנום. שכן כתוב בתורת כהנים: "</w:t>
      </w:r>
      <w:r w:rsidRPr="00863CCE">
        <w:rPr>
          <w:rFonts w:ascii="Keren" w:eastAsia="Times New Roman" w:hAnsi="Keren" w:cs="David"/>
          <w:color w:val="000000"/>
          <w:sz w:val="20"/>
          <w:szCs w:val="20"/>
          <w:rtl/>
          <w:lang w:eastAsia="he-IL"/>
          <w14:ligatures w14:val="none"/>
        </w:rPr>
        <w:t>כַּפֵּר לְעַמְּךָ יִשְׂרָאֵל</w:t>
      </w:r>
      <w:r w:rsidRPr="00863CCE">
        <w:rPr>
          <w:rFonts w:ascii="Keren" w:eastAsia="Times New Roman" w:hAnsi="Keren" w:cs="David"/>
          <w:szCs w:val="20"/>
          <w:rtl/>
          <w:lang w:eastAsia="he-IL"/>
          <w14:ligatures w14:val="none"/>
        </w:rPr>
        <w:t>" – אלו החיים, "</w:t>
      </w:r>
      <w:r w:rsidRPr="00863CCE">
        <w:rPr>
          <w:rFonts w:ascii="Keren" w:eastAsia="Times New Roman" w:hAnsi="Keren" w:cs="David"/>
          <w:color w:val="000000"/>
          <w:sz w:val="20"/>
          <w:szCs w:val="20"/>
          <w:rtl/>
          <w:lang w:eastAsia="he-IL"/>
          <w14:ligatures w14:val="none"/>
        </w:rPr>
        <w:t>אֲשֶׁר פָּדִיתָ</w:t>
      </w:r>
      <w:r w:rsidRPr="00863CCE">
        <w:rPr>
          <w:rFonts w:ascii="Keren" w:eastAsia="Times New Roman" w:hAnsi="Keren" w:cs="David"/>
          <w:szCs w:val="20"/>
          <w:rtl/>
          <w:lang w:eastAsia="he-IL"/>
          <w14:ligatures w14:val="none"/>
        </w:rPr>
        <w:t>" – אלו המתים. מכאן שהחיים פודים את המתים. לכך אנו נוהגים להזכיר את המתים ביום הכפורים ולפסוק עליהם צדקה". וכך נפסק להלכה בשלחן ערוך (אורח חיים תרכא, ו).</w:t>
      </w:r>
    </w:p>
    <w:p w:rsidR="005973ED" w:rsidRPr="00863CCE" w:rsidRDefault="005973ED"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בספר גשר החיים (פרק ל"א, ב) מדייק שהזכרת נשמות</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Cs w:val="20"/>
          <w:rtl/>
          <w:lang w:eastAsia="he-IL"/>
          <w14:ligatures w14:val="none"/>
        </w:rPr>
        <w:instrText>הזכרת נשמות:</w:instrText>
      </w:r>
      <w:r w:rsidRPr="00863CCE">
        <w:rPr>
          <w:rFonts w:ascii="Keren" w:eastAsia="Times New Roman" w:hAnsi="Keren" w:cs="David"/>
          <w:sz w:val="28"/>
          <w:szCs w:val="24"/>
          <w:rtl/>
          <w:lang w:eastAsia="he-IL"/>
          <w14:ligatures w14:val="none"/>
        </w:rPr>
        <w:instrText>ההבדל בינה לבין תפילת יזכור</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בסתמא היא תפלת "</w:t>
      </w:r>
      <w:r w:rsidRPr="00863CCE">
        <w:rPr>
          <w:rFonts w:ascii="Keren" w:eastAsia="Times New Roman" w:hAnsi="Keren" w:cs="David"/>
          <w:b/>
          <w:bCs/>
          <w:szCs w:val="20"/>
          <w:rtl/>
          <w:lang w:eastAsia="he-IL"/>
          <w14:ligatures w14:val="none"/>
        </w:rPr>
        <w:t>אל מלא רחמים</w:t>
      </w:r>
      <w:r w:rsidRPr="00863CCE">
        <w:rPr>
          <w:rFonts w:ascii="Keren" w:eastAsia="Times New Roman" w:hAnsi="Keren" w:cs="David"/>
          <w:szCs w:val="20"/>
          <w:rtl/>
          <w:lang w:eastAsia="he-IL"/>
          <w14:ligatures w14:val="none"/>
        </w:rPr>
        <w:t>" שנאמרת על ידי שליח הציבור בשבתות השנה ובימים שני וחמישי אחרי קריאת התורה</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Cs w:val="20"/>
          <w:rtl/>
          <w:lang w:eastAsia="he-IL"/>
          <w14:ligatures w14:val="none"/>
        </w:rPr>
        <w:instrText>קריאת התורה:</w:instrText>
      </w:r>
      <w:r w:rsidRPr="00863CCE">
        <w:rPr>
          <w:rFonts w:ascii="Keren" w:eastAsia="Times New Roman" w:hAnsi="Keren" w:cs="David"/>
          <w:sz w:val="28"/>
          <w:szCs w:val="24"/>
          <w:rtl/>
          <w:lang w:eastAsia="he-IL"/>
          <w14:ligatures w14:val="none"/>
        </w:rPr>
        <w:instrText>הזכרת נשמות לאחריה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ותפילת "</w:t>
      </w:r>
      <w:r w:rsidRPr="00863CCE">
        <w:rPr>
          <w:rFonts w:ascii="Keren" w:eastAsia="Times New Roman" w:hAnsi="Keren" w:cs="David"/>
          <w:b/>
          <w:bCs/>
          <w:szCs w:val="20"/>
          <w:rtl/>
          <w:lang w:eastAsia="he-IL"/>
          <w14:ligatures w14:val="none"/>
        </w:rPr>
        <w:t>יזכור</w:t>
      </w:r>
      <w:r w:rsidRPr="00863CCE">
        <w:rPr>
          <w:rFonts w:ascii="Keren" w:eastAsia="Times New Roman" w:hAnsi="Keren" w:cs="David"/>
          <w:szCs w:val="20"/>
          <w:rtl/>
          <w:lang w:eastAsia="he-IL"/>
          <w14:ligatures w14:val="none"/>
        </w:rPr>
        <w:t xml:space="preserve">" נאמרת על ידי היחידים על קרוביהם, ונאמרת ארבע פעמים בשנה: ביום הכיפורים וברגלים. </w:t>
      </w:r>
    </w:p>
    <w:p w:rsidR="005973ED" w:rsidRPr="00863CCE" w:rsidRDefault="005973ED" w:rsidP="00863CCE">
      <w:pPr>
        <w:spacing w:after="0" w:line="360" w:lineRule="auto"/>
        <w:ind w:left="386"/>
        <w:jc w:val="both"/>
        <w:rPr>
          <w:rFonts w:ascii="Keren" w:eastAsia="Times New Roman" w:hAnsi="Keren" w:cs="David"/>
          <w:szCs w:val="20"/>
          <w:rtl/>
          <w14:ligatures w14:val="none"/>
        </w:rPr>
      </w:pPr>
      <w:r w:rsidRPr="00863CCE">
        <w:rPr>
          <w:rFonts w:ascii="Keren" w:eastAsia="Times New Roman" w:hAnsi="Keren" w:cs="David"/>
          <w:szCs w:val="20"/>
          <w:rtl/>
          <w14:ligatures w14:val="none"/>
        </w:rPr>
        <w:t>מנהג זכירת המתים בשבת, אין ספק שזכירתם ביום המנוחה מועיל להם מאד מפני שהם נחים ועל ידי הזכירה נשמתם מתחדשת, שיש תלייה לשם עם הנשמה… שכל שם מורה על מהות ועצמות האדם… והנה בהזכרת שמו מתחדשת שם מנוחתו ויהיה עתה במנוחה ודיוקן נשמתו מאירה.</w:t>
      </w:r>
    </w:p>
    <w:p w:rsidR="005973ED" w:rsidRPr="00863CCE" w:rsidRDefault="005973ED" w:rsidP="00863CCE">
      <w:pPr>
        <w:spacing w:after="0" w:line="360" w:lineRule="auto"/>
        <w:ind w:left="386"/>
        <w:jc w:val="both"/>
        <w:rPr>
          <w:rFonts w:ascii="Keren" w:eastAsia="Times New Roman" w:hAnsi="Keren" w:cs="David"/>
          <w:szCs w:val="20"/>
          <w:rtl/>
          <w14:ligatures w14:val="none"/>
        </w:rPr>
      </w:pPr>
      <w:r w:rsidRPr="00863CCE">
        <w:rPr>
          <w:rFonts w:ascii="Keren" w:eastAsia="Times New Roman" w:hAnsi="Keren" w:cs="David"/>
          <w:szCs w:val="20"/>
          <w:rtl/>
          <w14:ligatures w14:val="none"/>
        </w:rPr>
        <w:t>וכשמזכיר שמו במנוחה אחר מיתתו צריך כוונה מפני שדיבור התחתונים פועל בעליונים מאד בסוד הבל פה העולה, ובפרט אם יזכר המת מבנו או מקרובו ובבית הכנסת שהיה רגיל להתפלל בו וכל שכן אם בנה אותה או הקדיש בה הקדשות, שהכל מסייע להשכין נשמתו בענג שמתגלה באותו היום הקדוש על הנשמות הקדושות. וכמו שהקדוש ברוך הוא מקדש נשמות הצדיקים החיים, כל שכן שנשמות המתים יקבלו גם כן מנוחה וענג ובפרט על ידי התעוררות המזכירים אותם (מעבר יַבֹּק מאמר שפתי רננות פרק כג).</w:t>
      </w:r>
    </w:p>
    <w:p w:rsidR="00D5072B" w:rsidRDefault="005973ED">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 xml:space="preserve">אב הרחמים. אל מלא רחמים. השכבה. יזכור.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3ED"/>
    <w:rsid w:val="000D0A23"/>
    <w:rsid w:val="002C1211"/>
    <w:rsid w:val="005973ED"/>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816677-238A-44C7-A6F9-C96618CB7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973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973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973E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973E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973E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973E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973E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973E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973E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973ED"/>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5973ED"/>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5973ED"/>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5973ED"/>
    <w:rPr>
      <w:rFonts w:eastAsiaTheme="majorEastAsia" w:cstheme="majorBidi"/>
      <w:i/>
      <w:iCs/>
      <w:color w:val="0F4761" w:themeColor="accent1" w:themeShade="BF"/>
    </w:rPr>
  </w:style>
  <w:style w:type="character" w:customStyle="1" w:styleId="50">
    <w:name w:val="כותרת 5 תו"/>
    <w:basedOn w:val="a0"/>
    <w:link w:val="5"/>
    <w:uiPriority w:val="9"/>
    <w:semiHidden/>
    <w:rsid w:val="005973ED"/>
    <w:rPr>
      <w:rFonts w:eastAsiaTheme="majorEastAsia" w:cstheme="majorBidi"/>
      <w:color w:val="0F4761" w:themeColor="accent1" w:themeShade="BF"/>
    </w:rPr>
  </w:style>
  <w:style w:type="character" w:customStyle="1" w:styleId="60">
    <w:name w:val="כותרת 6 תו"/>
    <w:basedOn w:val="a0"/>
    <w:link w:val="6"/>
    <w:uiPriority w:val="9"/>
    <w:semiHidden/>
    <w:rsid w:val="005973ED"/>
    <w:rPr>
      <w:rFonts w:eastAsiaTheme="majorEastAsia" w:cstheme="majorBidi"/>
      <w:i/>
      <w:iCs/>
      <w:color w:val="595959" w:themeColor="text1" w:themeTint="A6"/>
    </w:rPr>
  </w:style>
  <w:style w:type="character" w:customStyle="1" w:styleId="70">
    <w:name w:val="כותרת 7 תו"/>
    <w:basedOn w:val="a0"/>
    <w:link w:val="7"/>
    <w:uiPriority w:val="9"/>
    <w:semiHidden/>
    <w:rsid w:val="005973ED"/>
    <w:rPr>
      <w:rFonts w:eastAsiaTheme="majorEastAsia" w:cstheme="majorBidi"/>
      <w:color w:val="595959" w:themeColor="text1" w:themeTint="A6"/>
    </w:rPr>
  </w:style>
  <w:style w:type="character" w:customStyle="1" w:styleId="80">
    <w:name w:val="כותרת 8 תו"/>
    <w:basedOn w:val="a0"/>
    <w:link w:val="8"/>
    <w:uiPriority w:val="9"/>
    <w:semiHidden/>
    <w:rsid w:val="005973ED"/>
    <w:rPr>
      <w:rFonts w:eastAsiaTheme="majorEastAsia" w:cstheme="majorBidi"/>
      <w:i/>
      <w:iCs/>
      <w:color w:val="272727" w:themeColor="text1" w:themeTint="D8"/>
    </w:rPr>
  </w:style>
  <w:style w:type="character" w:customStyle="1" w:styleId="90">
    <w:name w:val="כותרת 9 תו"/>
    <w:basedOn w:val="a0"/>
    <w:link w:val="9"/>
    <w:uiPriority w:val="9"/>
    <w:semiHidden/>
    <w:rsid w:val="005973ED"/>
    <w:rPr>
      <w:rFonts w:eastAsiaTheme="majorEastAsia" w:cstheme="majorBidi"/>
      <w:color w:val="272727" w:themeColor="text1" w:themeTint="D8"/>
    </w:rPr>
  </w:style>
  <w:style w:type="paragraph" w:styleId="a3">
    <w:name w:val="Title"/>
    <w:basedOn w:val="a"/>
    <w:next w:val="a"/>
    <w:link w:val="a4"/>
    <w:uiPriority w:val="10"/>
    <w:qFormat/>
    <w:rsid w:val="00597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973E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973ED"/>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973E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973ED"/>
    <w:pPr>
      <w:spacing w:before="160"/>
      <w:jc w:val="center"/>
    </w:pPr>
    <w:rPr>
      <w:i/>
      <w:iCs/>
      <w:color w:val="404040" w:themeColor="text1" w:themeTint="BF"/>
    </w:rPr>
  </w:style>
  <w:style w:type="character" w:customStyle="1" w:styleId="a8">
    <w:name w:val="ציטוט תו"/>
    <w:basedOn w:val="a0"/>
    <w:link w:val="a7"/>
    <w:uiPriority w:val="29"/>
    <w:rsid w:val="005973ED"/>
    <w:rPr>
      <w:i/>
      <w:iCs/>
      <w:color w:val="404040" w:themeColor="text1" w:themeTint="BF"/>
    </w:rPr>
  </w:style>
  <w:style w:type="paragraph" w:styleId="a9">
    <w:name w:val="List Paragraph"/>
    <w:basedOn w:val="a"/>
    <w:uiPriority w:val="34"/>
    <w:qFormat/>
    <w:rsid w:val="005973ED"/>
    <w:pPr>
      <w:ind w:left="720"/>
      <w:contextualSpacing/>
    </w:pPr>
  </w:style>
  <w:style w:type="character" w:styleId="aa">
    <w:name w:val="Intense Emphasis"/>
    <w:basedOn w:val="a0"/>
    <w:uiPriority w:val="21"/>
    <w:qFormat/>
    <w:rsid w:val="005973ED"/>
    <w:rPr>
      <w:i/>
      <w:iCs/>
      <w:color w:val="0F4761" w:themeColor="accent1" w:themeShade="BF"/>
    </w:rPr>
  </w:style>
  <w:style w:type="paragraph" w:styleId="ab">
    <w:name w:val="Intense Quote"/>
    <w:basedOn w:val="a"/>
    <w:next w:val="a"/>
    <w:link w:val="ac"/>
    <w:uiPriority w:val="30"/>
    <w:qFormat/>
    <w:rsid w:val="005973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5973ED"/>
    <w:rPr>
      <w:i/>
      <w:iCs/>
      <w:color w:val="0F4761" w:themeColor="accent1" w:themeShade="BF"/>
    </w:rPr>
  </w:style>
  <w:style w:type="character" w:styleId="ad">
    <w:name w:val="Intense Reference"/>
    <w:basedOn w:val="a0"/>
    <w:uiPriority w:val="32"/>
    <w:qFormat/>
    <w:rsid w:val="005973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273</Words>
  <Characters>1370</Characters>
  <Application>Microsoft Office Word</Application>
  <DocSecurity>0</DocSecurity>
  <Lines>11</Lines>
  <Paragraphs>3</Paragraphs>
  <ScaleCrop>false</ScaleCrop>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2025-12-04T23:10:00Z</dcterms:created>
  <dcterms:modified xsi:type="dcterms:W3CDTF">2025-12-04T23:10:00Z</dcterms:modified>
</cp:coreProperties>
</file>