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6971" w:rsidRPr="00863CCE" w:rsidRDefault="0006697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2"/>
      <w:r w:rsidRPr="00863CCE">
        <w:rPr>
          <w:rFonts w:ascii="Keren" w:eastAsia="Times New Roman" w:hAnsi="Keren" w:cs="David"/>
          <w:b/>
          <w:bCs/>
          <w:sz w:val="26"/>
          <w:szCs w:val="24"/>
          <w:rtl/>
          <w:lang w:eastAsia="he-IL"/>
          <w14:ligatures w14:val="none"/>
        </w:rPr>
        <w:t>הי"ד – ה' יקום דמו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"הי</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"ד – ה' יקום דמו:ערך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66971" w:rsidRPr="00863CCE" w:rsidRDefault="0006697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דיבור או כיתוב על מצבה אגב הזכרת שמו של מי שנפל בידי מרצחים או שמסר נפשו על קידוש השם.</w:t>
      </w:r>
    </w:p>
    <w:p w:rsidR="00066971" w:rsidRPr="00863CCE" w:rsidRDefault="00066971"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ומנהג בהרבה מקומות לקבור הנהרגים – בר מינן, לבדם; כי תמיד תובעים דין עד כי ישפך דם הרוצח. וזה שאמר הכתוב: "</w:t>
      </w:r>
      <w:r w:rsidRPr="00863CCE">
        <w:rPr>
          <w:rFonts w:ascii="Keren" w:eastAsia="Times New Roman" w:hAnsi="Keren" w:cs="David"/>
          <w:sz w:val="20"/>
          <w:szCs w:val="20"/>
          <w:rtl/>
          <w:lang w:eastAsia="he-IL"/>
          <w14:ligatures w14:val="none"/>
        </w:rPr>
        <w:t>שֹׁפֵךְ דַּם הָאָדָם בָּאָדָם דָּמוֹ יִשָּׁפֵךְ</w:t>
      </w:r>
      <w:r w:rsidRPr="00863CCE">
        <w:rPr>
          <w:rFonts w:ascii="Keren" w:eastAsia="Times New Roman" w:hAnsi="Keren" w:cs="David"/>
          <w:szCs w:val="20"/>
          <w:rtl/>
          <w:lang w:eastAsia="he-IL"/>
          <w14:ligatures w14:val="none"/>
        </w:rPr>
        <w:t xml:space="preserve">", פירוש – בקטרוג שעושה נגדו אותו אדם שהרג, גורם שפיכת דמו; ואם לא בעולם הזה – בעולם הבא. ולכן אין מלבישים אותם תכריכים רק כורכים סדין על בגדיהם למען לא יתבייש בפני שאר מתים ולא יראו להם החוצה בגדי הנקם. שנוח לו לאותו הרוח להתלבש בם, ואין לו נייחא להתלבש במלבושים אחרים כשאר מתים, כדי להתראות לפני המלך המשפט בדמו התוסס עליהם ובתוכם, וקול דמיו צועקים אליו מן האדמה, ירא ה' וישפוט. כמו שאמרו בדמי נבות שלעולם תבעו דין על אחאב ואיזבל במקום שפיכתם. ועושים לנהרג נחת רוח כשמזכירים אותו, לומר </w:t>
      </w:r>
      <w:r w:rsidRPr="00863CCE">
        <w:rPr>
          <w:rFonts w:ascii="Keren" w:eastAsia="Times New Roman" w:hAnsi="Keren" w:cs="David"/>
          <w:b/>
          <w:bCs/>
          <w:szCs w:val="20"/>
          <w:rtl/>
          <w:lang w:eastAsia="he-IL"/>
          <w14:ligatures w14:val="none"/>
        </w:rPr>
        <w:t>ה' יקום דמו</w:t>
      </w:r>
      <w:r w:rsidRPr="00863CCE">
        <w:rPr>
          <w:rFonts w:ascii="Keren" w:eastAsia="Times New Roman" w:hAnsi="Keren" w:cs="David"/>
          <w:szCs w:val="20"/>
          <w:rtl/>
          <w:lang w:eastAsia="he-IL"/>
          <w14:ligatures w14:val="none"/>
        </w:rPr>
        <w:t>…" (מעבר יַבֹּק מאמר שפת אמת פרק י)</w:t>
      </w:r>
    </w:p>
    <w:p w:rsidR="00066971" w:rsidRPr="00863CCE" w:rsidRDefault="00066971" w:rsidP="00863CCE">
      <w:pPr>
        <w:spacing w:after="0" w:line="360" w:lineRule="auto"/>
        <w:jc w:val="both"/>
        <w:rPr>
          <w:rFonts w:ascii="Times New Roman" w:eastAsia="Times New Roman" w:hAnsi="Times New Roman" w:cs="David"/>
          <w:color w:val="000000"/>
          <w:sz w:val="18"/>
          <w:szCs w:val="20"/>
          <w:rtl/>
          <w:lang w:eastAsia="he-IL"/>
          <w14:ligatures w14:val="none"/>
        </w:rPr>
      </w:pPr>
      <w:r w:rsidRPr="00863CCE">
        <w:rPr>
          <w:rFonts w:ascii="Keren" w:eastAsia="Times New Roman" w:hAnsi="Keren" w:cs="David"/>
          <w:szCs w:val="20"/>
          <w:rtl/>
          <w:lang w:eastAsia="he-IL"/>
          <w14:ligatures w14:val="none"/>
        </w:rPr>
        <w:t xml:space="preserve">מסתבר שהביטוי מתקשר לפסוק </w:t>
      </w:r>
      <w:r w:rsidRPr="00863CCE">
        <w:rPr>
          <w:rFonts w:ascii="Times New Roman" w:eastAsia="Times New Roman" w:hAnsi="Times New Roman" w:cs="David"/>
          <w:sz w:val="20"/>
          <w:szCs w:val="24"/>
          <w:rtl/>
          <w:lang w:eastAsia="he-IL"/>
          <w14:ligatures w14:val="none"/>
        </w:rPr>
        <w:t>"</w:t>
      </w:r>
      <w:r w:rsidRPr="00863CCE">
        <w:rPr>
          <w:rFonts w:ascii="Times New Roman" w:eastAsia="Times New Roman" w:hAnsi="Times New Roman" w:cs="David"/>
          <w:color w:val="000000"/>
          <w:sz w:val="18"/>
          <w:szCs w:val="20"/>
          <w:rtl/>
          <w:lang w:eastAsia="he-IL"/>
          <w14:ligatures w14:val="none"/>
        </w:rPr>
        <w:t>הַרְנִינוּ גוֹיִם עַמּוֹ כִּי דַם עֲבָדָיו יִקּוֹם וְנָקָם יָשִׁיב לְצָרָיו וְכִפֶּר אַדְמָתוֹ עַמּו"ֹ (דברים לב, מג).</w:t>
      </w:r>
    </w:p>
    <w:p w:rsidR="00D5072B" w:rsidRDefault="00066971">
      <w:r w:rsidRPr="00863CCE">
        <w:rPr>
          <w:rFonts w:ascii="Times New Roman" w:eastAsia="Times New Roman" w:hAnsi="Times New Roman" w:cs="David"/>
          <w:color w:val="000000"/>
          <w:sz w:val="18"/>
          <w:szCs w:val="20"/>
          <w:rtl/>
          <w:lang w:eastAsia="he-IL"/>
          <w14:ligatures w14:val="none"/>
        </w:rPr>
        <w:t xml:space="preserve">ע"ע </w:t>
      </w:r>
      <w:r w:rsidRPr="00863CCE">
        <w:rPr>
          <w:rFonts w:ascii="Times New Roman" w:eastAsia="Times New Roman" w:hAnsi="Times New Roman" w:cs="David"/>
          <w:b/>
          <w:bCs/>
          <w:color w:val="000000"/>
          <w:sz w:val="18"/>
          <w:szCs w:val="20"/>
          <w:rtl/>
          <w:lang w:eastAsia="he-IL"/>
          <w14:ligatures w14:val="none"/>
        </w:rPr>
        <w:t>הרוגי מלכות.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71"/>
    <w:rsid w:val="00066971"/>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9D712D-8F19-49F9-9EBC-0F2F3B84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6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669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669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669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669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69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69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69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6697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6697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6697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66971"/>
    <w:rPr>
      <w:rFonts w:eastAsiaTheme="majorEastAsia" w:cstheme="majorBidi"/>
      <w:i/>
      <w:iCs/>
      <w:color w:val="0F4761" w:themeColor="accent1" w:themeShade="BF"/>
    </w:rPr>
  </w:style>
  <w:style w:type="character" w:customStyle="1" w:styleId="50">
    <w:name w:val="כותרת 5 תו"/>
    <w:basedOn w:val="a0"/>
    <w:link w:val="5"/>
    <w:uiPriority w:val="9"/>
    <w:semiHidden/>
    <w:rsid w:val="00066971"/>
    <w:rPr>
      <w:rFonts w:eastAsiaTheme="majorEastAsia" w:cstheme="majorBidi"/>
      <w:color w:val="0F4761" w:themeColor="accent1" w:themeShade="BF"/>
    </w:rPr>
  </w:style>
  <w:style w:type="character" w:customStyle="1" w:styleId="60">
    <w:name w:val="כותרת 6 תו"/>
    <w:basedOn w:val="a0"/>
    <w:link w:val="6"/>
    <w:uiPriority w:val="9"/>
    <w:semiHidden/>
    <w:rsid w:val="00066971"/>
    <w:rPr>
      <w:rFonts w:eastAsiaTheme="majorEastAsia" w:cstheme="majorBidi"/>
      <w:i/>
      <w:iCs/>
      <w:color w:val="595959" w:themeColor="text1" w:themeTint="A6"/>
    </w:rPr>
  </w:style>
  <w:style w:type="character" w:customStyle="1" w:styleId="70">
    <w:name w:val="כותרת 7 תו"/>
    <w:basedOn w:val="a0"/>
    <w:link w:val="7"/>
    <w:uiPriority w:val="9"/>
    <w:semiHidden/>
    <w:rsid w:val="00066971"/>
    <w:rPr>
      <w:rFonts w:eastAsiaTheme="majorEastAsia" w:cstheme="majorBidi"/>
      <w:color w:val="595959" w:themeColor="text1" w:themeTint="A6"/>
    </w:rPr>
  </w:style>
  <w:style w:type="character" w:customStyle="1" w:styleId="80">
    <w:name w:val="כותרת 8 תו"/>
    <w:basedOn w:val="a0"/>
    <w:link w:val="8"/>
    <w:uiPriority w:val="9"/>
    <w:semiHidden/>
    <w:rsid w:val="00066971"/>
    <w:rPr>
      <w:rFonts w:eastAsiaTheme="majorEastAsia" w:cstheme="majorBidi"/>
      <w:i/>
      <w:iCs/>
      <w:color w:val="272727" w:themeColor="text1" w:themeTint="D8"/>
    </w:rPr>
  </w:style>
  <w:style w:type="character" w:customStyle="1" w:styleId="90">
    <w:name w:val="כותרת 9 תו"/>
    <w:basedOn w:val="a0"/>
    <w:link w:val="9"/>
    <w:uiPriority w:val="9"/>
    <w:semiHidden/>
    <w:rsid w:val="00066971"/>
    <w:rPr>
      <w:rFonts w:eastAsiaTheme="majorEastAsia" w:cstheme="majorBidi"/>
      <w:color w:val="272727" w:themeColor="text1" w:themeTint="D8"/>
    </w:rPr>
  </w:style>
  <w:style w:type="paragraph" w:styleId="a3">
    <w:name w:val="Title"/>
    <w:basedOn w:val="a"/>
    <w:next w:val="a"/>
    <w:link w:val="a4"/>
    <w:uiPriority w:val="10"/>
    <w:qFormat/>
    <w:rsid w:val="00066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669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97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6697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66971"/>
    <w:pPr>
      <w:spacing w:before="160"/>
      <w:jc w:val="center"/>
    </w:pPr>
    <w:rPr>
      <w:i/>
      <w:iCs/>
      <w:color w:val="404040" w:themeColor="text1" w:themeTint="BF"/>
    </w:rPr>
  </w:style>
  <w:style w:type="character" w:customStyle="1" w:styleId="a8">
    <w:name w:val="ציטוט תו"/>
    <w:basedOn w:val="a0"/>
    <w:link w:val="a7"/>
    <w:uiPriority w:val="29"/>
    <w:rsid w:val="00066971"/>
    <w:rPr>
      <w:i/>
      <w:iCs/>
      <w:color w:val="404040" w:themeColor="text1" w:themeTint="BF"/>
    </w:rPr>
  </w:style>
  <w:style w:type="paragraph" w:styleId="a9">
    <w:name w:val="List Paragraph"/>
    <w:basedOn w:val="a"/>
    <w:uiPriority w:val="34"/>
    <w:qFormat/>
    <w:rsid w:val="00066971"/>
    <w:pPr>
      <w:ind w:left="720"/>
      <w:contextualSpacing/>
    </w:pPr>
  </w:style>
  <w:style w:type="character" w:styleId="aa">
    <w:name w:val="Intense Emphasis"/>
    <w:basedOn w:val="a0"/>
    <w:uiPriority w:val="21"/>
    <w:qFormat/>
    <w:rsid w:val="00066971"/>
    <w:rPr>
      <w:i/>
      <w:iCs/>
      <w:color w:val="0F4761" w:themeColor="accent1" w:themeShade="BF"/>
    </w:rPr>
  </w:style>
  <w:style w:type="paragraph" w:styleId="ab">
    <w:name w:val="Intense Quote"/>
    <w:basedOn w:val="a"/>
    <w:next w:val="a"/>
    <w:link w:val="ac"/>
    <w:uiPriority w:val="30"/>
    <w:qFormat/>
    <w:rsid w:val="0006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66971"/>
    <w:rPr>
      <w:i/>
      <w:iCs/>
      <w:color w:val="0F4761" w:themeColor="accent1" w:themeShade="BF"/>
    </w:rPr>
  </w:style>
  <w:style w:type="character" w:styleId="ad">
    <w:name w:val="Intense Reference"/>
    <w:basedOn w:val="a0"/>
    <w:uiPriority w:val="32"/>
    <w:qFormat/>
    <w:rsid w:val="00066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167</Words>
  <Characters>840</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