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3F47" w:rsidRPr="00863CCE" w:rsidRDefault="001C3F47" w:rsidP="00863CCE">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b/>
          <w:bCs/>
          <w:sz w:val="26"/>
          <w:szCs w:val="24"/>
          <w:rtl/>
          <w:lang w:eastAsia="he-IL"/>
          <w14:ligatures w14:val="none"/>
        </w:rPr>
        <w:t>הכל מעלין לארץ ישראל ואין הכל מוציאין</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הכל מעלין לארץ ישראל ואין הכל מוציאין:ערך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rsidR="001C3F47" w:rsidRPr="00863CCE" w:rsidRDefault="001C3F47"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כלל הלכתי המופיע במשנה (מסכת כתובות קי, ב), שמשמעותו היא שיש זכות קדימה לארץ ישראל על פני חוץ לארץ. כך למשל בויכוח בין בני זוג, שאחד מהם רוצה להישאר בארץ ישראל והשני רוצה לרדת לחוץ לארץ, ידו של מי שרוצה להישאר בארץ על העליונה. כלל זה נפסק להלכה גם ברמב"ם (הלכות אישות פרק יג, יט - כ) ובשלחן ערוך (אבן העזר סימן עה, ג – ד).</w:t>
      </w:r>
    </w:p>
    <w:p w:rsidR="001C3F47" w:rsidRPr="00863CCE" w:rsidRDefault="001C3F47" w:rsidP="00863CCE">
      <w:pPr>
        <w:spacing w:after="0" w:line="360" w:lineRule="auto"/>
        <w:jc w:val="both"/>
        <w:rPr>
          <w:rFonts w:ascii="Keren" w:eastAsia="Times New Roman" w:hAnsi="Keren" w:cs="David"/>
          <w:sz w:val="28"/>
          <w:szCs w:val="24"/>
          <w:rtl/>
          <w:lang w:eastAsia="he-IL"/>
          <w14:ligatures w14:val="none"/>
        </w:rPr>
      </w:pPr>
      <w:r w:rsidRPr="00863CCE">
        <w:rPr>
          <w:rFonts w:ascii="Keren" w:eastAsia="Times New Roman" w:hAnsi="Keren" w:cs="David"/>
          <w:sz w:val="20"/>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"נפטר:איסור הוצאתו לקבורה מהארץ לחו</w:instrText>
      </w:r>
      <w:r w:rsidRPr="00863CCE">
        <w:rPr>
          <w:rFonts w:ascii="Times New Roman" w:eastAsia="Times New Roman" w:hAnsi="Times New Roman" w:cs="Times New Roman"/>
          <w:sz w:val="20"/>
          <w:szCs w:val="20"/>
          <w:lang w:eastAsia="he-IL"/>
          <w14:ligatures w14:val="none"/>
        </w:rPr>
        <w:instrText>\</w:instrText>
      </w:r>
      <w:r w:rsidRPr="00863CCE">
        <w:rPr>
          <w:rFonts w:ascii="Keren" w:eastAsia="Times New Roman" w:hAnsi="Keren" w:cs="David"/>
          <w:sz w:val="20"/>
          <w:szCs w:val="20"/>
          <w:rtl/>
          <w:lang w:eastAsia="he-IL"/>
          <w14:ligatures w14:val="none"/>
        </w:rPr>
        <w:instrText>"ל"</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 w:val="20"/>
          <w:szCs w:val="20"/>
          <w:rtl/>
          <w:lang w:eastAsia="he-IL"/>
          <w14:ligatures w14:val="none"/>
        </w:rPr>
        <w:fldChar w:fldCharType="end"/>
      </w:r>
      <w:r w:rsidRPr="00863CCE">
        <w:rPr>
          <w:rFonts w:ascii="Keren" w:eastAsia="Times New Roman" w:hAnsi="Keren" w:cs="David"/>
          <w:sz w:val="20"/>
          <w:szCs w:val="20"/>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"קבורה:איסור הוצאה מהארץ לחו</w:instrText>
      </w:r>
      <w:r w:rsidRPr="00863CCE">
        <w:rPr>
          <w:rFonts w:ascii="Times New Roman" w:eastAsia="Times New Roman" w:hAnsi="Times New Roman" w:cs="Times New Roman"/>
          <w:sz w:val="20"/>
          <w:szCs w:val="20"/>
          <w:lang w:eastAsia="he-IL"/>
          <w14:ligatures w14:val="none"/>
        </w:rPr>
        <w:instrText>\</w:instrText>
      </w:r>
      <w:r w:rsidRPr="00863CCE">
        <w:rPr>
          <w:rFonts w:ascii="Keren" w:eastAsia="Times New Roman" w:hAnsi="Keren" w:cs="David"/>
          <w:sz w:val="20"/>
          <w:szCs w:val="20"/>
          <w:rtl/>
          <w:lang w:eastAsia="he-IL"/>
          <w14:ligatures w14:val="none"/>
        </w:rPr>
        <w:instrText>"ל"</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 w:val="20"/>
          <w:szCs w:val="20"/>
          <w:lang w:eastAsia="he-IL"/>
          <w14:ligatures w14:val="none"/>
        </w:rPr>
        <w:fldChar w:fldCharType="end"/>
      </w:r>
      <w:r w:rsidRPr="00863CCE">
        <w:rPr>
          <w:rFonts w:ascii="Keren" w:eastAsia="Times New Roman" w:hAnsi="Keren" w:cs="David"/>
          <w:sz w:val="20"/>
          <w:szCs w:val="20"/>
          <w:rtl/>
          <w:lang w:eastAsia="he-IL"/>
          <w14:ligatures w14:val="none"/>
        </w:rPr>
        <w:t>לפי כלל זה של "הכל מעלין לארץ ישראל ואין הכל מוציאין", גם אין מוציאים נפטרים מארץ ישראל לחוץ לארץ. דהיינו, מי שנפטר בארץ, אין מוציאים אותו מהארץ כדי להיקבר בחוץ לארץ. אפילו אורח מחוץ לארץ שבא לארץ לימים אחדים ויש לו קבר משפחתי בעירו, כשמת בארץ ישראל נקבר בה (גשר החיים פרק כז, ט, ב). לעומת זאת, מי שנפטר בחוץ לארץ – מעלים את גופתו מחוץ לארץ לארץ ישראל. על פי עיקרון זה פסק הרב עובדיה יוסף ש</w:t>
      </w:r>
      <w:r w:rsidRPr="00863CCE">
        <w:rPr>
          <w:rFonts w:ascii="Keren" w:eastAsia="Times New Roman" w:hAnsi="Keren" w:cs="David"/>
          <w:sz w:val="18"/>
          <w:szCs w:val="20"/>
          <w:rtl/>
          <w:lang w:eastAsia="he-IL"/>
          <w14:ligatures w14:val="none"/>
        </w:rPr>
        <w:t>תייר שהגיע לביקור בארץ ונפטר ונקבר בארץ, ובני משפחתו מחוץ לארץ מבקשים להעבירו לקבר המשפחה בחוץ לארץ, שאין לפנות את הנפטר אשר זכה להיקבר בארץ ישראל, אף אם גילה דעתו בחייו ובקש לקברו בחוץ לארץ. ויש להסביר הדברים לבני המשפחה שהם מרי נפש ולדבר  על לבם כי מאת ה' היתה זאת לטובתו ולהנאתו, ויש זכות לנפטר שזכה להיקבר בארץ ישראל. (ילקוט יוסף סימן נב, ז).</w:t>
      </w:r>
    </w:p>
    <w:p w:rsidR="00D5072B" w:rsidRDefault="001C3F47">
      <w:r w:rsidRPr="00863CCE">
        <w:rPr>
          <w:rFonts w:ascii="Keren" w:eastAsia="Times New Roman" w:hAnsi="Keren" w:cs="David"/>
          <w:sz w:val="20"/>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"קבורה:פינוי מקברו כדי להעלותו לירושלים"</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 w:val="20"/>
          <w:szCs w:val="20"/>
          <w:rtl/>
          <w:lang w:eastAsia="he-IL"/>
          <w14:ligatures w14:val="none"/>
        </w:rPr>
        <w:fldChar w:fldCharType="end"/>
      </w:r>
      <w:r w:rsidRPr="00863CCE">
        <w:rPr>
          <w:rFonts w:ascii="Keren" w:eastAsia="Times New Roman" w:hAnsi="Keren" w:cs="David"/>
          <w:sz w:val="20"/>
          <w:szCs w:val="20"/>
          <w:rtl/>
          <w:lang w:eastAsia="he-IL"/>
          <w14:ligatures w14:val="none"/>
        </w:rPr>
        <w:t xml:space="preserve">אם כבר נקבר בארץ ישראל, אין מוציאים אותו מקברו כדי להעלותו לירושלים. אמנם בדומה לכלל של "הכל מעלין לארץ ישראל" ישנו כלל הלכתי מקביל - "הכל מעלין לירושלים ואין הכל מוציאין". אולם הכלל של "הכל מעלין לירושלים" שייך רק בחיים ולא לאחר מיתה. לכן אף על פי שרשאים לפנות נפטר מחוץ לארץ כדי לקברו בארץ, אין לפנות נפטר בארץ כדי להעלותו לירושלים. ע"ע </w:t>
      </w:r>
      <w:r w:rsidRPr="00863CCE">
        <w:rPr>
          <w:rFonts w:ascii="Keren" w:eastAsia="Times New Roman" w:hAnsi="Keren" w:cs="David"/>
          <w:b/>
          <w:bCs/>
          <w:sz w:val="20"/>
          <w:szCs w:val="20"/>
          <w:rtl/>
          <w:lang w:eastAsia="he-IL"/>
          <w14:ligatures w14:val="none"/>
        </w:rPr>
        <w:t>גלגול מחילות. עפר ארץ ישראל. קבורה בארץ ישראל.</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F47"/>
    <w:rsid w:val="000D0A23"/>
    <w:rsid w:val="001C3F47"/>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BC358C-8252-4FB9-A72E-4E9AC20E7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C3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C3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C3F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C3F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C3F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C3F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C3F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3F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C3F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C3F4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C3F4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C3F4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C3F47"/>
    <w:rPr>
      <w:rFonts w:eastAsiaTheme="majorEastAsia" w:cstheme="majorBidi"/>
      <w:i/>
      <w:iCs/>
      <w:color w:val="0F4761" w:themeColor="accent1" w:themeShade="BF"/>
    </w:rPr>
  </w:style>
  <w:style w:type="character" w:customStyle="1" w:styleId="50">
    <w:name w:val="כותרת 5 תו"/>
    <w:basedOn w:val="a0"/>
    <w:link w:val="5"/>
    <w:uiPriority w:val="9"/>
    <w:semiHidden/>
    <w:rsid w:val="001C3F47"/>
    <w:rPr>
      <w:rFonts w:eastAsiaTheme="majorEastAsia" w:cstheme="majorBidi"/>
      <w:color w:val="0F4761" w:themeColor="accent1" w:themeShade="BF"/>
    </w:rPr>
  </w:style>
  <w:style w:type="character" w:customStyle="1" w:styleId="60">
    <w:name w:val="כותרת 6 תו"/>
    <w:basedOn w:val="a0"/>
    <w:link w:val="6"/>
    <w:uiPriority w:val="9"/>
    <w:semiHidden/>
    <w:rsid w:val="001C3F47"/>
    <w:rPr>
      <w:rFonts w:eastAsiaTheme="majorEastAsia" w:cstheme="majorBidi"/>
      <w:i/>
      <w:iCs/>
      <w:color w:val="595959" w:themeColor="text1" w:themeTint="A6"/>
    </w:rPr>
  </w:style>
  <w:style w:type="character" w:customStyle="1" w:styleId="70">
    <w:name w:val="כותרת 7 תו"/>
    <w:basedOn w:val="a0"/>
    <w:link w:val="7"/>
    <w:uiPriority w:val="9"/>
    <w:semiHidden/>
    <w:rsid w:val="001C3F47"/>
    <w:rPr>
      <w:rFonts w:eastAsiaTheme="majorEastAsia" w:cstheme="majorBidi"/>
      <w:color w:val="595959" w:themeColor="text1" w:themeTint="A6"/>
    </w:rPr>
  </w:style>
  <w:style w:type="character" w:customStyle="1" w:styleId="80">
    <w:name w:val="כותרת 8 תו"/>
    <w:basedOn w:val="a0"/>
    <w:link w:val="8"/>
    <w:uiPriority w:val="9"/>
    <w:semiHidden/>
    <w:rsid w:val="001C3F47"/>
    <w:rPr>
      <w:rFonts w:eastAsiaTheme="majorEastAsia" w:cstheme="majorBidi"/>
      <w:i/>
      <w:iCs/>
      <w:color w:val="272727" w:themeColor="text1" w:themeTint="D8"/>
    </w:rPr>
  </w:style>
  <w:style w:type="character" w:customStyle="1" w:styleId="90">
    <w:name w:val="כותרת 9 תו"/>
    <w:basedOn w:val="a0"/>
    <w:link w:val="9"/>
    <w:uiPriority w:val="9"/>
    <w:semiHidden/>
    <w:rsid w:val="001C3F47"/>
    <w:rPr>
      <w:rFonts w:eastAsiaTheme="majorEastAsia" w:cstheme="majorBidi"/>
      <w:color w:val="272727" w:themeColor="text1" w:themeTint="D8"/>
    </w:rPr>
  </w:style>
  <w:style w:type="paragraph" w:styleId="a3">
    <w:name w:val="Title"/>
    <w:basedOn w:val="a"/>
    <w:next w:val="a"/>
    <w:link w:val="a4"/>
    <w:uiPriority w:val="10"/>
    <w:qFormat/>
    <w:rsid w:val="001C3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C3F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F4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C3F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C3F47"/>
    <w:pPr>
      <w:spacing w:before="160"/>
      <w:jc w:val="center"/>
    </w:pPr>
    <w:rPr>
      <w:i/>
      <w:iCs/>
      <w:color w:val="404040" w:themeColor="text1" w:themeTint="BF"/>
    </w:rPr>
  </w:style>
  <w:style w:type="character" w:customStyle="1" w:styleId="a8">
    <w:name w:val="ציטוט תו"/>
    <w:basedOn w:val="a0"/>
    <w:link w:val="a7"/>
    <w:uiPriority w:val="29"/>
    <w:rsid w:val="001C3F47"/>
    <w:rPr>
      <w:i/>
      <w:iCs/>
      <w:color w:val="404040" w:themeColor="text1" w:themeTint="BF"/>
    </w:rPr>
  </w:style>
  <w:style w:type="paragraph" w:styleId="a9">
    <w:name w:val="List Paragraph"/>
    <w:basedOn w:val="a"/>
    <w:uiPriority w:val="34"/>
    <w:qFormat/>
    <w:rsid w:val="001C3F47"/>
    <w:pPr>
      <w:ind w:left="720"/>
      <w:contextualSpacing/>
    </w:pPr>
  </w:style>
  <w:style w:type="character" w:styleId="aa">
    <w:name w:val="Intense Emphasis"/>
    <w:basedOn w:val="a0"/>
    <w:uiPriority w:val="21"/>
    <w:qFormat/>
    <w:rsid w:val="001C3F47"/>
    <w:rPr>
      <w:i/>
      <w:iCs/>
      <w:color w:val="0F4761" w:themeColor="accent1" w:themeShade="BF"/>
    </w:rPr>
  </w:style>
  <w:style w:type="paragraph" w:styleId="ab">
    <w:name w:val="Intense Quote"/>
    <w:basedOn w:val="a"/>
    <w:next w:val="a"/>
    <w:link w:val="ac"/>
    <w:uiPriority w:val="30"/>
    <w:qFormat/>
    <w:rsid w:val="001C3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C3F47"/>
    <w:rPr>
      <w:i/>
      <w:iCs/>
      <w:color w:val="0F4761" w:themeColor="accent1" w:themeShade="BF"/>
    </w:rPr>
  </w:style>
  <w:style w:type="character" w:styleId="ad">
    <w:name w:val="Intense Reference"/>
    <w:basedOn w:val="a0"/>
    <w:uiPriority w:val="32"/>
    <w:qFormat/>
    <w:rsid w:val="001C3F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1403</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