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5010" w:rsidRPr="00863CCE" w:rsidRDefault="0094501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4"/>
      <w:r w:rsidRPr="00863CCE">
        <w:rPr>
          <w:rFonts w:ascii="Keren" w:eastAsia="Times New Roman" w:hAnsi="Keren" w:cs="David"/>
          <w:b/>
          <w:bCs/>
          <w:sz w:val="26"/>
          <w:szCs w:val="24"/>
          <w:rtl/>
          <w:lang w:eastAsia="he-IL"/>
          <w14:ligatures w14:val="none"/>
        </w:rPr>
        <w:t>הלנת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"הלנת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45010" w:rsidRPr="00863CCE" w:rsidRDefault="0094501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אזהרה שלא להלין את המת אלא לקברו בו ביום. לומדים זאת מהפסוק "</w:t>
      </w:r>
      <w:r w:rsidRPr="00863CCE">
        <w:rPr>
          <w:rFonts w:ascii="Keren" w:eastAsia="Times New Roman" w:hAnsi="Keren" w:cs="David"/>
          <w:sz w:val="20"/>
          <w:szCs w:val="20"/>
          <w:rtl/>
          <w:lang w:eastAsia="he-IL"/>
          <w14:ligatures w14:val="none"/>
        </w:rPr>
        <w:t>לֹא תָלִין נִבְלָתוֹ עַל הָעֵץ כִּי קָבוֹר תִּקְבְּרֶנּוּ בַּיּוֹם הַהוּא</w:t>
      </w:r>
      <w:r w:rsidRPr="00863CCE">
        <w:rPr>
          <w:rFonts w:ascii="Keren" w:eastAsia="Times New Roman" w:hAnsi="Keren" w:cs="David"/>
          <w:szCs w:val="20"/>
          <w:rtl/>
          <w:lang w:eastAsia="he-IL"/>
          <w14:ligatures w14:val="none"/>
        </w:rPr>
        <w:t xml:space="preserve">" (דברים כא, כג). ואף שהפסוק נאמר על תלוי, למדו ממנו על כל המתים. </w:t>
      </w:r>
    </w:p>
    <w:p w:rsidR="00945010" w:rsidRPr="00863CCE" w:rsidRDefault="0094501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מצות עשה לקבור הרוגי בית דין שנהרגו, באותו יום. שנאמר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(דברים כא, כג). ומכאן למדו חכמים לכל מתי ישראל שמצוה לקברם ביום מותם (ספר המצוות לרמב"ם, מצות עשה רל"א).</w:t>
      </w:r>
    </w:p>
    <w:p w:rsidR="00945010" w:rsidRPr="00863CCE" w:rsidRDefault="0094501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הגמרא בסנהדרין (מז, א; וכן במסכת שמחות פרק יא) למדה שהאיסור להלין המת, הוא דווקא דרך ביזיון בדומה לתלוי על העץ, אבל אם הלינו לכבודו מותר, וכך גם נפסק להלכה. (שלחן ערוך יורה דעה סימן שנז, א). בירושלים היו נזהרים שלא להלין כלל את המת (בבא קמא פב, ב. תוספתא נגעים פרק ו, ב).</w:t>
      </w:r>
    </w:p>
    <w:p w:rsidR="00945010" w:rsidRPr="00863CCE" w:rsidRDefault="0094501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הטעם כתבו משום כבודו של הגוף, שלא תראה הלנתו כביזיון, והסמיכו זאת לפסוק בתהלים (מט, כא) "</w:t>
      </w:r>
      <w:r w:rsidRPr="00863CCE">
        <w:rPr>
          <w:rFonts w:ascii="Times New Roman" w:eastAsia="Times New Roman" w:hAnsi="Times New Roman" w:cs="David"/>
          <w:color w:val="000000"/>
          <w:szCs w:val="20"/>
          <w:rtl/>
          <w:lang w:eastAsia="he-IL"/>
          <w14:ligatures w14:val="none"/>
        </w:rPr>
        <w:t>אָדָם בִּיקָר וְלֹא יָבִין נִמְשַׁל כַּבְּהֵמוֹת נִדְמוּ</w:t>
      </w:r>
      <w:r w:rsidRPr="00863CCE">
        <w:rPr>
          <w:rFonts w:ascii="Keren" w:eastAsia="Times New Roman" w:hAnsi="Keren" w:cs="David"/>
          <w:szCs w:val="20"/>
          <w:rtl/>
          <w:lang w:eastAsia="he-IL"/>
          <w14:ligatures w14:val="none"/>
        </w:rPr>
        <w:t>". שהאדם שהוא יקר מכל יקר - "בל ילין", שאם ילינוהו – יהיה נמשל כבהמות נדמו (זהר נשא). יש גם יתרון פסיכולוגי גדול במצוה זו. המצב של נפטר שאינו קבור, הוא מעמסה גדולה על המשפחה. הבאת המת למקום מנוחתו מהווה הקלה נפשית משמעותית למשפחה (דרכה של היהדות במוות ובאבלות, עמוד 40).</w:t>
      </w:r>
    </w:p>
    <w:p w:rsidR="00945010" w:rsidRPr="00863CCE" w:rsidRDefault="0094501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"אבלות על אב ואם:לא למהר להוציא מטתם"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יש בעניין זה הבדל בין אביו ואמו לשאר מתים - "כל המתים, הממהר להוציא מטתו הרי זה משובח. אבל על אביו ואמו, הרי זה מגונה. אלא אם כן היה ערב שבת או ערב יום טוב, או שהיו גשמים מזלפים על מטתו" (מסכת שמחות פרק ט), וכך נפסק להלכה בשלחן ערוך (יורה דעה סימן שנז, ב). הטעם לחלק בין שאר מתים לבין אביו ואמו, כתב השפתי כהן שם: "לפי שאין דרך להספיד על שאר המתים הרבה, הלכך יותר כבוד להם כשנקברים במהרה, מאשר שיעמדו הרבה ולא יספידום. אבל על אביו ואמו שחייב להספידם ולקונן עליהם הרבה, הממהר להוציא הרי זה מגונה". ועכשיו נהגו גם באביו ואמו למהר להוציאם ואין מחלקים בין אביו ואמו לשאר מתים (פני ברוך סימן ד, י בשם ספר בית הלל).</w:t>
      </w:r>
    </w:p>
    <w:p w:rsidR="00D5072B" w:rsidRDefault="00945010">
      <w:r w:rsidRPr="00863CCE">
        <w:rPr>
          <w:rFonts w:ascii="Keren" w:eastAsia="Times New Roman" w:hAnsi="Keren" w:cs="David"/>
          <w:szCs w:val="20"/>
          <w:rtl/>
          <w:lang w:eastAsia="he-IL"/>
          <w14:ligatures w14:val="none"/>
        </w:rPr>
        <w:t xml:space="preserve">אין מניחין מיטה של אשה מפני הכבוד, מפני שקרובה לניוול וגנאי הוא לה (שלחן ערוך יורה דעה סימן שנה).  ע"ע </w:t>
      </w:r>
      <w:r w:rsidRPr="00863CCE">
        <w:rPr>
          <w:rFonts w:ascii="Keren" w:eastAsia="Times New Roman" w:hAnsi="Keren" w:cs="David"/>
          <w:b/>
          <w:bCs/>
          <w:szCs w:val="20"/>
          <w:rtl/>
          <w:lang w:eastAsia="he-IL"/>
          <w14:ligatures w14:val="none"/>
        </w:rPr>
        <w:t>כבוד המת. סמוך למיתה קבורה. קבורה.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10"/>
    <w:rsid w:val="000D0A23"/>
    <w:rsid w:val="002C1211"/>
    <w:rsid w:val="005C4B14"/>
    <w:rsid w:val="00945010"/>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8E37FA-57D5-4A19-8576-10C3846B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45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5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50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501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50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50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50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50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50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4501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4501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4501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45010"/>
    <w:rPr>
      <w:rFonts w:eastAsiaTheme="majorEastAsia" w:cstheme="majorBidi"/>
      <w:i/>
      <w:iCs/>
      <w:color w:val="0F4761" w:themeColor="accent1" w:themeShade="BF"/>
    </w:rPr>
  </w:style>
  <w:style w:type="character" w:customStyle="1" w:styleId="50">
    <w:name w:val="כותרת 5 תו"/>
    <w:basedOn w:val="a0"/>
    <w:link w:val="5"/>
    <w:uiPriority w:val="9"/>
    <w:semiHidden/>
    <w:rsid w:val="00945010"/>
    <w:rPr>
      <w:rFonts w:eastAsiaTheme="majorEastAsia" w:cstheme="majorBidi"/>
      <w:color w:val="0F4761" w:themeColor="accent1" w:themeShade="BF"/>
    </w:rPr>
  </w:style>
  <w:style w:type="character" w:customStyle="1" w:styleId="60">
    <w:name w:val="כותרת 6 תו"/>
    <w:basedOn w:val="a0"/>
    <w:link w:val="6"/>
    <w:uiPriority w:val="9"/>
    <w:semiHidden/>
    <w:rsid w:val="00945010"/>
    <w:rPr>
      <w:rFonts w:eastAsiaTheme="majorEastAsia" w:cstheme="majorBidi"/>
      <w:i/>
      <w:iCs/>
      <w:color w:val="595959" w:themeColor="text1" w:themeTint="A6"/>
    </w:rPr>
  </w:style>
  <w:style w:type="character" w:customStyle="1" w:styleId="70">
    <w:name w:val="כותרת 7 תו"/>
    <w:basedOn w:val="a0"/>
    <w:link w:val="7"/>
    <w:uiPriority w:val="9"/>
    <w:semiHidden/>
    <w:rsid w:val="00945010"/>
    <w:rPr>
      <w:rFonts w:eastAsiaTheme="majorEastAsia" w:cstheme="majorBidi"/>
      <w:color w:val="595959" w:themeColor="text1" w:themeTint="A6"/>
    </w:rPr>
  </w:style>
  <w:style w:type="character" w:customStyle="1" w:styleId="80">
    <w:name w:val="כותרת 8 תו"/>
    <w:basedOn w:val="a0"/>
    <w:link w:val="8"/>
    <w:uiPriority w:val="9"/>
    <w:semiHidden/>
    <w:rsid w:val="00945010"/>
    <w:rPr>
      <w:rFonts w:eastAsiaTheme="majorEastAsia" w:cstheme="majorBidi"/>
      <w:i/>
      <w:iCs/>
      <w:color w:val="272727" w:themeColor="text1" w:themeTint="D8"/>
    </w:rPr>
  </w:style>
  <w:style w:type="character" w:customStyle="1" w:styleId="90">
    <w:name w:val="כותרת 9 תו"/>
    <w:basedOn w:val="a0"/>
    <w:link w:val="9"/>
    <w:uiPriority w:val="9"/>
    <w:semiHidden/>
    <w:rsid w:val="00945010"/>
    <w:rPr>
      <w:rFonts w:eastAsiaTheme="majorEastAsia" w:cstheme="majorBidi"/>
      <w:color w:val="272727" w:themeColor="text1" w:themeTint="D8"/>
    </w:rPr>
  </w:style>
  <w:style w:type="paragraph" w:styleId="a3">
    <w:name w:val="Title"/>
    <w:basedOn w:val="a"/>
    <w:next w:val="a"/>
    <w:link w:val="a4"/>
    <w:uiPriority w:val="10"/>
    <w:qFormat/>
    <w:rsid w:val="00945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450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501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450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45010"/>
    <w:pPr>
      <w:spacing w:before="160"/>
      <w:jc w:val="center"/>
    </w:pPr>
    <w:rPr>
      <w:i/>
      <w:iCs/>
      <w:color w:val="404040" w:themeColor="text1" w:themeTint="BF"/>
    </w:rPr>
  </w:style>
  <w:style w:type="character" w:customStyle="1" w:styleId="a8">
    <w:name w:val="ציטוט תו"/>
    <w:basedOn w:val="a0"/>
    <w:link w:val="a7"/>
    <w:uiPriority w:val="29"/>
    <w:rsid w:val="00945010"/>
    <w:rPr>
      <w:i/>
      <w:iCs/>
      <w:color w:val="404040" w:themeColor="text1" w:themeTint="BF"/>
    </w:rPr>
  </w:style>
  <w:style w:type="paragraph" w:styleId="a9">
    <w:name w:val="List Paragraph"/>
    <w:basedOn w:val="a"/>
    <w:uiPriority w:val="34"/>
    <w:qFormat/>
    <w:rsid w:val="00945010"/>
    <w:pPr>
      <w:ind w:left="720"/>
      <w:contextualSpacing/>
    </w:pPr>
  </w:style>
  <w:style w:type="character" w:styleId="aa">
    <w:name w:val="Intense Emphasis"/>
    <w:basedOn w:val="a0"/>
    <w:uiPriority w:val="21"/>
    <w:qFormat/>
    <w:rsid w:val="00945010"/>
    <w:rPr>
      <w:i/>
      <w:iCs/>
      <w:color w:val="0F4761" w:themeColor="accent1" w:themeShade="BF"/>
    </w:rPr>
  </w:style>
  <w:style w:type="paragraph" w:styleId="ab">
    <w:name w:val="Intense Quote"/>
    <w:basedOn w:val="a"/>
    <w:next w:val="a"/>
    <w:link w:val="ac"/>
    <w:uiPriority w:val="30"/>
    <w:qFormat/>
    <w:rsid w:val="00945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45010"/>
    <w:rPr>
      <w:i/>
      <w:iCs/>
      <w:color w:val="0F4761" w:themeColor="accent1" w:themeShade="BF"/>
    </w:rPr>
  </w:style>
  <w:style w:type="character" w:styleId="ad">
    <w:name w:val="Intense Reference"/>
    <w:basedOn w:val="a0"/>
    <w:uiPriority w:val="32"/>
    <w:qFormat/>
    <w:rsid w:val="00945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1610</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