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752" w:rsidRPr="00863CCE" w:rsidRDefault="004E4752"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11"/>
      <w:r w:rsidRPr="00863CCE">
        <w:rPr>
          <w:rFonts w:ascii="Keren" w:eastAsia="Times New Roman" w:hAnsi="Keren" w:cs="David"/>
          <w:b/>
          <w:bCs/>
          <w:sz w:val="26"/>
          <w:szCs w:val="24"/>
          <w:rtl/>
          <w:lang w:eastAsia="he-IL"/>
          <w14:ligatures w14:val="none"/>
        </w:rPr>
        <w:t>הריני כפרת משכבו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"הריני כפרת משכבו:ערך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על אב ואם:הריני כפרת משכבו"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4E4752" w:rsidRPr="00863CCE" w:rsidRDefault="004E4752" w:rsidP="00863CCE">
      <w:pPr>
        <w:spacing w:after="0" w:line="360" w:lineRule="auto"/>
        <w:jc w:val="both"/>
        <w:rPr>
          <w:rFonts w:ascii="Keren" w:eastAsia="Times New Roman" w:hAnsi="Keren" w:cs="David"/>
          <w:sz w:val="20"/>
          <w:szCs w:val="20"/>
          <w:rtl/>
          <w14:ligatures w14:val="none"/>
        </w:rPr>
      </w:pPr>
      <w:r w:rsidRPr="00863CCE">
        <w:rPr>
          <w:rFonts w:ascii="Keren" w:eastAsia="Times New Roman" w:hAnsi="Keren" w:cs="David"/>
          <w:szCs w:val="20"/>
          <w:rtl/>
          <w:lang w:eastAsia="he-IL"/>
          <w14:ligatures w14:val="none"/>
        </w:rPr>
        <w:t>ביטוי שאומר האבל על אביו ואמו וכן על רבו מובהק</w:t>
      </w:r>
      <w:r w:rsidRPr="00863CCE">
        <w:rPr>
          <w:rFonts w:ascii="Arial" w:eastAsia="Times New Roman" w:hAnsi="Arial" w:cs="Arial"/>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במשך שנים עשר החודשים שהוא אבל עליהם. (בראשי תיבות הכ"מ). מקור הביטוי בגמרא (קידושין לא, ב) "תנו רבנן: מכבדו בחייו ומכבדו במותו. בחייו כיצד? ..., במותו כיצד? היה אומר דבר שמועה מפיו, לא יאמר - 'כך אמר אבא', אלא - 'כך אמר אבא מרי, </w:t>
      </w:r>
      <w:r w:rsidRPr="00863CCE">
        <w:rPr>
          <w:rFonts w:ascii="Keren" w:eastAsia="Times New Roman" w:hAnsi="Keren" w:cs="David"/>
          <w:b/>
          <w:bCs/>
          <w:szCs w:val="20"/>
          <w:rtl/>
          <w:lang w:eastAsia="he-IL"/>
          <w14:ligatures w14:val="none"/>
        </w:rPr>
        <w:t>הריני כפרת משכבו</w:t>
      </w:r>
      <w:r w:rsidRPr="00863CCE">
        <w:rPr>
          <w:rFonts w:ascii="Keren" w:eastAsia="Times New Roman" w:hAnsi="Keren" w:cs="David"/>
          <w:szCs w:val="20"/>
          <w:rtl/>
          <w:lang w:eastAsia="he-IL"/>
          <w14:ligatures w14:val="none"/>
        </w:rPr>
        <w:t>'. וכך אומר בתוך שנים עשר חודש. מכאן ואילך אומר – 'זכרונו לברכה לחיי העולם הבא'. כך גם נפסק להלכה (שלחן ערוך יורה דעה סימן רמ, ט. רמב, כח).</w:t>
      </w:r>
      <w:r w:rsidRPr="00863CCE">
        <w:rPr>
          <w:rFonts w:ascii="Keren" w:eastAsia="Times New Roman" w:hAnsi="Keren" w:cs="David"/>
          <w:sz w:val="20"/>
          <w:szCs w:val="20"/>
          <w:rtl/>
          <w14:ligatures w14:val="none"/>
        </w:rPr>
        <w:t xml:space="preserve"> על אביו ואמו אומר ביטוי זה רק כשמזכיר דבר הלכה או דבר שמועה מפיהם, ובילקוט יוסף (סימן לט, א) באר</w:t>
      </w:r>
      <w:r w:rsidRPr="00863CCE">
        <w:rPr>
          <w:rFonts w:ascii="Keren" w:eastAsia="Times New Roman" w:hAnsi="Keren" w:cs="David"/>
          <w:szCs w:val="20"/>
          <w:rtl/>
          <w:lang w:eastAsia="he-IL"/>
          <w14:ligatures w14:val="none"/>
        </w:rPr>
        <w:t xml:space="preserve"> שהחיוב לומר ביטוי זה דווקא בהקשר לציטוט דבר הלכה או שמועה מפיהם, הוא כדי שאם יטעה הבן בדבריו, העונש שצריך להגיע על טעות זו יבוא עליו ולא על הוריו</w:t>
      </w:r>
      <w:r w:rsidRPr="00863CCE">
        <w:rPr>
          <w:rFonts w:ascii="Keren" w:eastAsia="Times New Roman" w:hAnsi="Keren" w:cs="David"/>
          <w:sz w:val="20"/>
          <w:szCs w:val="20"/>
          <w:rtl/>
          <w14:ligatures w14:val="none"/>
        </w:rPr>
        <w:t xml:space="preserve">. </w:t>
      </w:r>
    </w:p>
    <w:p w:rsidR="004E4752" w:rsidRPr="00863CCE" w:rsidRDefault="004E475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 w:val="20"/>
          <w:szCs w:val="20"/>
          <w:rtl/>
          <w14:ligatures w14:val="none"/>
        </w:rPr>
        <w:t>גם בתוך שנים עשר חודש יכול לומר 'זכרונם לברכה', אבל לאחר שנים עשר חודש לא יאמר 'הריני כפרת משכבו'. הטעם כיון שמשפט רשעים בגיהנום רק שנים עשר חודש (שפתי כהן שם רמ, יג).</w:t>
      </w:r>
    </w:p>
    <w:p w:rsidR="004E4752" w:rsidRPr="00863CCE" w:rsidRDefault="004E4752" w:rsidP="00863CCE">
      <w:p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xml:space="preserve">ככלל, האבלות על אב ואם חמורה מאשר האבלות על שאר קרובים. למשל האבלות על שאר קרובים נמשכת שלושים יום, והרגל מפסיק האבלות. ואילו אבלות על אב ואם נמשכת שנים עשר חודש, למרות שיש רגלים בינתיים. הסיבה לכך היא כבוד אב ואם שנוהג בחייהם וגם לאחר מותם, מתוך המחויבות האינסופית של אדם כלפי אביו ואמו. </w:t>
      </w:r>
    </w:p>
    <w:p w:rsidR="004E4752" w:rsidRPr="00863CCE" w:rsidRDefault="004E475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חלק ממחויבות זו הוא הביטוי הנוקב 'הריני כפרת משכבו', בו מצהיר האדם על נכונותו להיות כפרת אביו ואמו. ביטוי של מסירות נפש ממש עבור אביו ואמו. כמו שפרש רש"י שם: "עלי יבוא כל רע הראוי לבוא על נפשו". </w:t>
      </w:r>
    </w:p>
    <w:p w:rsidR="00D5072B" w:rsidRDefault="004E4752">
      <w:r w:rsidRPr="00863CCE">
        <w:rPr>
          <w:rFonts w:ascii="Keren" w:eastAsia="Times New Roman" w:hAnsi="Keren" w:cs="David"/>
          <w:szCs w:val="20"/>
          <w:rtl/>
          <w:lang w:eastAsia="he-IL"/>
          <w14:ligatures w14:val="none"/>
        </w:rPr>
        <w:t>ביטוי זה הפך לביטוי כללי של חיבה למי שמוכנים למסור את הנפש עבורם. כך למשל אמר רבי ישמעאל: "בני ישראל – אני כפרתן!" (משנה נגעים פרק ב, א).</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752"/>
    <w:rsid w:val="000D0A23"/>
    <w:rsid w:val="002C1211"/>
    <w:rsid w:val="004E4752"/>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479D10-FC01-4F5B-BD8A-129BDC8F2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4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E4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E475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E475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E475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475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475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475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475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E475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E475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E475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E4752"/>
    <w:rPr>
      <w:rFonts w:eastAsiaTheme="majorEastAsia" w:cstheme="majorBidi"/>
      <w:i/>
      <w:iCs/>
      <w:color w:val="0F4761" w:themeColor="accent1" w:themeShade="BF"/>
    </w:rPr>
  </w:style>
  <w:style w:type="character" w:customStyle="1" w:styleId="50">
    <w:name w:val="כותרת 5 תו"/>
    <w:basedOn w:val="a0"/>
    <w:link w:val="5"/>
    <w:uiPriority w:val="9"/>
    <w:semiHidden/>
    <w:rsid w:val="004E4752"/>
    <w:rPr>
      <w:rFonts w:eastAsiaTheme="majorEastAsia" w:cstheme="majorBidi"/>
      <w:color w:val="0F4761" w:themeColor="accent1" w:themeShade="BF"/>
    </w:rPr>
  </w:style>
  <w:style w:type="character" w:customStyle="1" w:styleId="60">
    <w:name w:val="כותרת 6 תו"/>
    <w:basedOn w:val="a0"/>
    <w:link w:val="6"/>
    <w:uiPriority w:val="9"/>
    <w:semiHidden/>
    <w:rsid w:val="004E4752"/>
    <w:rPr>
      <w:rFonts w:eastAsiaTheme="majorEastAsia" w:cstheme="majorBidi"/>
      <w:i/>
      <w:iCs/>
      <w:color w:val="595959" w:themeColor="text1" w:themeTint="A6"/>
    </w:rPr>
  </w:style>
  <w:style w:type="character" w:customStyle="1" w:styleId="70">
    <w:name w:val="כותרת 7 תו"/>
    <w:basedOn w:val="a0"/>
    <w:link w:val="7"/>
    <w:uiPriority w:val="9"/>
    <w:semiHidden/>
    <w:rsid w:val="004E4752"/>
    <w:rPr>
      <w:rFonts w:eastAsiaTheme="majorEastAsia" w:cstheme="majorBidi"/>
      <w:color w:val="595959" w:themeColor="text1" w:themeTint="A6"/>
    </w:rPr>
  </w:style>
  <w:style w:type="character" w:customStyle="1" w:styleId="80">
    <w:name w:val="כותרת 8 תו"/>
    <w:basedOn w:val="a0"/>
    <w:link w:val="8"/>
    <w:uiPriority w:val="9"/>
    <w:semiHidden/>
    <w:rsid w:val="004E4752"/>
    <w:rPr>
      <w:rFonts w:eastAsiaTheme="majorEastAsia" w:cstheme="majorBidi"/>
      <w:i/>
      <w:iCs/>
      <w:color w:val="272727" w:themeColor="text1" w:themeTint="D8"/>
    </w:rPr>
  </w:style>
  <w:style w:type="character" w:customStyle="1" w:styleId="90">
    <w:name w:val="כותרת 9 תו"/>
    <w:basedOn w:val="a0"/>
    <w:link w:val="9"/>
    <w:uiPriority w:val="9"/>
    <w:semiHidden/>
    <w:rsid w:val="004E4752"/>
    <w:rPr>
      <w:rFonts w:eastAsiaTheme="majorEastAsia" w:cstheme="majorBidi"/>
      <w:color w:val="272727" w:themeColor="text1" w:themeTint="D8"/>
    </w:rPr>
  </w:style>
  <w:style w:type="paragraph" w:styleId="a3">
    <w:name w:val="Title"/>
    <w:basedOn w:val="a"/>
    <w:next w:val="a"/>
    <w:link w:val="a4"/>
    <w:uiPriority w:val="10"/>
    <w:qFormat/>
    <w:rsid w:val="004E4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E47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75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E475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E4752"/>
    <w:pPr>
      <w:spacing w:before="160"/>
      <w:jc w:val="center"/>
    </w:pPr>
    <w:rPr>
      <w:i/>
      <w:iCs/>
      <w:color w:val="404040" w:themeColor="text1" w:themeTint="BF"/>
    </w:rPr>
  </w:style>
  <w:style w:type="character" w:customStyle="1" w:styleId="a8">
    <w:name w:val="ציטוט תו"/>
    <w:basedOn w:val="a0"/>
    <w:link w:val="a7"/>
    <w:uiPriority w:val="29"/>
    <w:rsid w:val="004E4752"/>
    <w:rPr>
      <w:i/>
      <w:iCs/>
      <w:color w:val="404040" w:themeColor="text1" w:themeTint="BF"/>
    </w:rPr>
  </w:style>
  <w:style w:type="paragraph" w:styleId="a9">
    <w:name w:val="List Paragraph"/>
    <w:basedOn w:val="a"/>
    <w:uiPriority w:val="34"/>
    <w:qFormat/>
    <w:rsid w:val="004E4752"/>
    <w:pPr>
      <w:ind w:left="720"/>
      <w:contextualSpacing/>
    </w:pPr>
  </w:style>
  <w:style w:type="character" w:styleId="aa">
    <w:name w:val="Intense Emphasis"/>
    <w:basedOn w:val="a0"/>
    <w:uiPriority w:val="21"/>
    <w:qFormat/>
    <w:rsid w:val="004E4752"/>
    <w:rPr>
      <w:i/>
      <w:iCs/>
      <w:color w:val="0F4761" w:themeColor="accent1" w:themeShade="BF"/>
    </w:rPr>
  </w:style>
  <w:style w:type="paragraph" w:styleId="ab">
    <w:name w:val="Intense Quote"/>
    <w:basedOn w:val="a"/>
    <w:next w:val="a"/>
    <w:link w:val="ac"/>
    <w:uiPriority w:val="30"/>
    <w:qFormat/>
    <w:rsid w:val="004E4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E4752"/>
    <w:rPr>
      <w:i/>
      <w:iCs/>
      <w:color w:val="0F4761" w:themeColor="accent1" w:themeShade="BF"/>
    </w:rPr>
  </w:style>
  <w:style w:type="character" w:styleId="ad">
    <w:name w:val="Intense Reference"/>
    <w:basedOn w:val="a0"/>
    <w:uiPriority w:val="32"/>
    <w:qFormat/>
    <w:rsid w:val="004E4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1312</Characters>
  <Application>Microsoft Office Word</Application>
  <DocSecurity>0</DocSecurity>
  <Lines>10</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