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1091" w:rsidRPr="00863CCE" w:rsidRDefault="005D109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4"/>
      <w:r w:rsidRPr="00863CCE">
        <w:rPr>
          <w:rFonts w:ascii="Keren" w:eastAsia="Times New Roman" w:hAnsi="Keren" w:cs="David"/>
          <w:b/>
          <w:bCs/>
          <w:sz w:val="26"/>
          <w:szCs w:val="24"/>
          <w:rtl/>
          <w:lang w:eastAsia="he-IL"/>
          <w14:ligatures w14:val="none"/>
        </w:rPr>
        <w:t>וידוי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"וידוי:ערך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D1091" w:rsidRPr="00863CCE" w:rsidRDefault="005D1091"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הכרת העון ואמירת החטא בפיו</w:t>
      </w:r>
      <w:r w:rsidRPr="00863CCE">
        <w:rPr>
          <w:rFonts w:ascii="Keren" w:eastAsia="Times New Roman" w:hAnsi="Keren" w:cs="David"/>
          <w:sz w:val="26"/>
          <w:szCs w:val="24"/>
          <w:rtl/>
          <w:lang w:eastAsia="he-IL"/>
          <w14:ligatures w14:val="none"/>
        </w:rPr>
        <w:t xml:space="preserve">. </w:t>
      </w:r>
    </w:p>
    <w:p w:rsidR="005D1091" w:rsidRPr="00863CCE" w:rsidRDefault="005D1091"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מצות עשה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שישוב החוטא מחטאו לפני ה' ויתודה. </w:t>
      </w:r>
      <w:r w:rsidRPr="00863CCE">
        <w:rPr>
          <w:rFonts w:ascii="Keren" w:eastAsia="Times New Roman" w:hAnsi="Keren" w:cs="David"/>
          <w:color w:val="000000"/>
          <w:sz w:val="20"/>
          <w:szCs w:val="20"/>
          <w:rtl/>
          <w:lang w:eastAsia="he-IL"/>
          <w14:ligatures w14:val="none"/>
        </w:rPr>
        <w:t>כל מצוות שבתורה בין עשה בין לא תעשה אם עבר אדם על אחת מהן בין בזדון בין בשגגה, כשיעשה תשובה וישוב מחטאו חייב להתודות לפני האל ברוך הוא, שנאמר: "</w:t>
      </w:r>
      <w:r w:rsidRPr="00863CCE">
        <w:rPr>
          <w:rFonts w:ascii="Keren" w:eastAsia="Times New Roman" w:hAnsi="Keren" w:cs="David"/>
          <w:sz w:val="20"/>
          <w:szCs w:val="20"/>
          <w:rtl/>
          <w:lang w:eastAsia="he-IL"/>
          <w14:ligatures w14:val="none"/>
        </w:rPr>
        <w:t>אִישׁ אוֹ אִשָּׁה כִּי יַעֲשׂוּ וגו' וְהִתְוַדּוּ אֶת חַטָּאתָם אֲשֶׁר עָשׂוּ</w:t>
      </w:r>
      <w:r w:rsidRPr="00863CCE">
        <w:rPr>
          <w:rFonts w:ascii="Keren" w:eastAsia="Times New Roman" w:hAnsi="Keren" w:cs="David"/>
          <w:color w:val="000000"/>
          <w:sz w:val="20"/>
          <w:szCs w:val="20"/>
          <w:rtl/>
          <w:lang w:eastAsia="he-IL"/>
          <w14:ligatures w14:val="none"/>
        </w:rPr>
        <w:t>", זה וידוי דברים. וידוי זה מצות עשה, כיצד מתודין? אומר: אנא השם חטאתי עויתי פשעתי לפניך ועשיתי כך וכך והרי נחמתי ובושתי במעשי ולעולם איני חוזר לדבר זה, וזהו עיקרו של וידוי, וכל המרבה להתודות ומאריך בענין זה הרי זה משובח, וכן בעלי חטאות ואשמות בעת שמביאין קרבנותיהן על שגגתן או על זדונן אין מתכפר להן בקרבנם עד שיעשו תשובה, ויתודו וידוי דברים שנאמר: "</w:t>
      </w:r>
      <w:r w:rsidRPr="00863CCE">
        <w:rPr>
          <w:rFonts w:ascii="Keren" w:eastAsia="Times New Roman" w:hAnsi="Keren" w:cs="David"/>
          <w:sz w:val="20"/>
          <w:szCs w:val="20"/>
          <w:rtl/>
          <w:lang w:eastAsia="he-IL"/>
          <w14:ligatures w14:val="none"/>
        </w:rPr>
        <w:t>וְהִתְוַדָּה אֲשֶׁר חָטָא עָלֶיהָ</w:t>
      </w:r>
      <w:r w:rsidRPr="00863CCE">
        <w:rPr>
          <w:rFonts w:ascii="Keren" w:eastAsia="Times New Roman" w:hAnsi="Keren" w:cs="David"/>
          <w:color w:val="000000"/>
          <w:sz w:val="20"/>
          <w:szCs w:val="20"/>
          <w:rtl/>
          <w:lang w:eastAsia="he-IL"/>
          <w14:ligatures w14:val="none"/>
        </w:rPr>
        <w:t>", וכן כל מחוייבי מיתות בית דין ומחוייבי מלקות אין מתכפר להן במיתתן או בלקייתן עד שיעשו תשובה ויתודו, וכן החובל בחבירו והמזיק ממונו אף על פי ששילם לו מה שהוא חייב לו אינו מתכפר עד שיתודה וישוב מלעשות כזה לעולם שנאמר: "</w:t>
      </w:r>
      <w:r w:rsidRPr="00863CCE">
        <w:rPr>
          <w:rFonts w:ascii="Keren" w:eastAsia="Times New Roman" w:hAnsi="Keren" w:cs="David"/>
          <w:sz w:val="20"/>
          <w:szCs w:val="20"/>
          <w:rtl/>
          <w:lang w:eastAsia="he-IL"/>
          <w14:ligatures w14:val="none"/>
        </w:rPr>
        <w:t>מִכָּל חַטֹּאת הָאָדָם</w:t>
      </w:r>
      <w:r w:rsidRPr="00863CCE">
        <w:rPr>
          <w:rFonts w:ascii="Keren" w:eastAsia="Times New Roman" w:hAnsi="Keren" w:cs="David"/>
          <w:szCs w:val="20"/>
          <w:rtl/>
          <w:lang w:eastAsia="he-IL"/>
          <w14:ligatures w14:val="none"/>
        </w:rPr>
        <w:t>" (הלכות תשובה לרמב"ם א, א).</w:t>
      </w:r>
    </w:p>
    <w:p w:rsidR="005D1091" w:rsidRPr="00863CCE" w:rsidRDefault="005D109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יהושע אמר לעכן "</w:t>
      </w:r>
      <w:r w:rsidRPr="00863CCE">
        <w:rPr>
          <w:rFonts w:ascii="Keren" w:eastAsia="Times New Roman" w:hAnsi="Keren" w:cs="David"/>
          <w:sz w:val="20"/>
          <w:szCs w:val="20"/>
          <w:rtl/>
          <w:lang w:eastAsia="he-IL"/>
          <w14:ligatures w14:val="none"/>
        </w:rPr>
        <w:t>שִׂים נָא כָבוֹד לה' אֱלֹהֵי יִשְׂרָאֵל וְתֶן לוֹ תוֹדָה וְהַגֶּד נָא לִי מֶה עָשִׂיתָ</w:t>
      </w:r>
      <w:r w:rsidRPr="00863CCE">
        <w:rPr>
          <w:rFonts w:ascii="Keren" w:eastAsia="Times New Roman" w:hAnsi="Keren" w:cs="David"/>
          <w:szCs w:val="20"/>
          <w:rtl/>
          <w:lang w:eastAsia="he-IL"/>
          <w14:ligatures w14:val="none"/>
        </w:rPr>
        <w:t>" (יהושע ז, יט). עיקר הוידוי הוא בפה להיות מודה בשפתיו על החטא. במדרש שוחר טוב דרשו על הפסוק במשלי (יח, כא) "</w:t>
      </w:r>
      <w:r w:rsidRPr="00863CCE">
        <w:rPr>
          <w:rFonts w:ascii="Keren" w:eastAsia="Times New Roman" w:hAnsi="Keren" w:cs="David"/>
          <w:sz w:val="20"/>
          <w:szCs w:val="20"/>
          <w:rtl/>
          <w:lang w:eastAsia="he-IL"/>
          <w14:ligatures w14:val="none"/>
        </w:rPr>
        <w:t>מָוֶת וְחַיִּים בְּיַד לָשׁוֹן</w:t>
      </w:r>
      <w:r w:rsidRPr="00863CCE">
        <w:rPr>
          <w:rFonts w:ascii="Keren" w:eastAsia="Times New Roman" w:hAnsi="Keren" w:cs="David"/>
          <w:szCs w:val="20"/>
          <w:rtl/>
          <w:lang w:eastAsia="he-IL"/>
          <w14:ligatures w14:val="none"/>
        </w:rPr>
        <w:t xml:space="preserve">" – לשונו של אדם מביאתו לחיי עולם הבא. מי גרם לדוד שבא לחיי העולם הבא? פיו שאמר "חטאתי". בזהר פרשת פנחס אמרו "מאן דמפרש חובוי, כל בי דינא בדלין מיניה". </w:t>
      </w:r>
    </w:p>
    <w:p w:rsidR="005D1091" w:rsidRPr="00863CCE" w:rsidRDefault="005D1091"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שחלה ונטה למות אומרים לו - התוודה (שבת לב, א). </w:t>
      </w:r>
    </w:p>
    <w:p w:rsidR="005D1091" w:rsidRPr="00863CCE" w:rsidRDefault="005D1091"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בקהילות מסוימות היה כזה, שכשאדם חולה ביום השלישי לחוליו, הולכים אליו גבאי ביקור חולים, או שאר אנשים, ואומרים לו – 'אתה ידעת שכן הוא התיקון והמנהג אצל כל החולים, ולכן אין לך לדאוג מזה כלום, ולכן תעשה צוואה מה שתרצה, ומה שאתה חייב, או אחרים חייבים לך'. ועוד אומרים לו – 'התוודה, כי כל המתוודה על חטאיו, מוחלין לו'. וכיון שבאותן קהילות המנהג כן, אין החולה דואג מזה כלום, וכן ראוי לתקן בכל עיר ועיר. אך במקום שאין מנהג זה, אין אומרים כן לחולה שמא ידאג על מיתתו. (חכמת אדם כלל קנא, יא).</w:t>
      </w:r>
    </w:p>
    <w:p w:rsidR="005D1091" w:rsidRPr="00863CCE" w:rsidRDefault="005D1091"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מכל מקום, כשרואים המבקרים שנטה למות, מסבבים עמו בדברים, ואומרים לו 'התודה ואל תדאג מזה, כי הרבה התוודו ולא מתו, והרבה שלא התוודו מתו. ובשכר שאתה מתוודה אתה חי, וכל המתוודה יש לו חלק לעולם הבא. ואם אינו יכול להתוודות בפיו, יתודה בלבו'. (ספר תורת האדם לרמב"ן, שער הוידוי. מהדורת שעוועל עמוד מו).  </w:t>
      </w:r>
    </w:p>
    <w:p w:rsidR="005D1091" w:rsidRPr="00863CCE" w:rsidRDefault="005D109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נוסח הוידוי הקצר – 'אם אמות, תהא מיתתי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בקשה בוידוי"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כל עונותי'. אך הקדמונים הוסיפו על כך נוסחים שונים. ויש המתודים כנוסח של יום הכיפורים. </w:t>
      </w:r>
    </w:p>
    <w:p w:rsidR="00D5072B" w:rsidRDefault="005D1091">
      <w:r w:rsidRPr="00863CCE">
        <w:rPr>
          <w:rFonts w:ascii="Keren" w:eastAsia="Times New Roman" w:hAnsi="Keren" w:cs="David"/>
          <w:szCs w:val="20"/>
          <w:rtl/>
          <w:lang w:eastAsia="he-IL"/>
          <w14:ligatures w14:val="none"/>
        </w:rPr>
        <w:t>בימינו כמעט שבטלה אמירת הוידוי של חולים הנוטים למות. יש אומרים שהטעם הוא מחמת העובדה שרוב בני אדם מתים בבתי חולים, ולא תמיד קיימת האפשרות המעשית לקיים מצות וידוי. ויש האומרים שאמירת הוידוי עלולה להזיק לחולה מחמת טירוף הדעת. (אנציקלופדיה הלכתית רפואית ערך וידוי).</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גוסס. שכיב מרע.</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91"/>
    <w:rsid w:val="000D0A23"/>
    <w:rsid w:val="002C1211"/>
    <w:rsid w:val="005C4B14"/>
    <w:rsid w:val="005D1091"/>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A5FFA9-9504-4C6A-AE13-5C5750D8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1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10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10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10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10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0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0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0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D109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D109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D109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D1091"/>
    <w:rPr>
      <w:rFonts w:eastAsiaTheme="majorEastAsia" w:cstheme="majorBidi"/>
      <w:i/>
      <w:iCs/>
      <w:color w:val="0F4761" w:themeColor="accent1" w:themeShade="BF"/>
    </w:rPr>
  </w:style>
  <w:style w:type="character" w:customStyle="1" w:styleId="50">
    <w:name w:val="כותרת 5 תו"/>
    <w:basedOn w:val="a0"/>
    <w:link w:val="5"/>
    <w:uiPriority w:val="9"/>
    <w:semiHidden/>
    <w:rsid w:val="005D1091"/>
    <w:rPr>
      <w:rFonts w:eastAsiaTheme="majorEastAsia" w:cstheme="majorBidi"/>
      <w:color w:val="0F4761" w:themeColor="accent1" w:themeShade="BF"/>
    </w:rPr>
  </w:style>
  <w:style w:type="character" w:customStyle="1" w:styleId="60">
    <w:name w:val="כותרת 6 תו"/>
    <w:basedOn w:val="a0"/>
    <w:link w:val="6"/>
    <w:uiPriority w:val="9"/>
    <w:semiHidden/>
    <w:rsid w:val="005D1091"/>
    <w:rPr>
      <w:rFonts w:eastAsiaTheme="majorEastAsia" w:cstheme="majorBidi"/>
      <w:i/>
      <w:iCs/>
      <w:color w:val="595959" w:themeColor="text1" w:themeTint="A6"/>
    </w:rPr>
  </w:style>
  <w:style w:type="character" w:customStyle="1" w:styleId="70">
    <w:name w:val="כותרת 7 תו"/>
    <w:basedOn w:val="a0"/>
    <w:link w:val="7"/>
    <w:uiPriority w:val="9"/>
    <w:semiHidden/>
    <w:rsid w:val="005D1091"/>
    <w:rPr>
      <w:rFonts w:eastAsiaTheme="majorEastAsia" w:cstheme="majorBidi"/>
      <w:color w:val="595959" w:themeColor="text1" w:themeTint="A6"/>
    </w:rPr>
  </w:style>
  <w:style w:type="character" w:customStyle="1" w:styleId="80">
    <w:name w:val="כותרת 8 תו"/>
    <w:basedOn w:val="a0"/>
    <w:link w:val="8"/>
    <w:uiPriority w:val="9"/>
    <w:semiHidden/>
    <w:rsid w:val="005D1091"/>
    <w:rPr>
      <w:rFonts w:eastAsiaTheme="majorEastAsia" w:cstheme="majorBidi"/>
      <w:i/>
      <w:iCs/>
      <w:color w:val="272727" w:themeColor="text1" w:themeTint="D8"/>
    </w:rPr>
  </w:style>
  <w:style w:type="character" w:customStyle="1" w:styleId="90">
    <w:name w:val="כותרת 9 תו"/>
    <w:basedOn w:val="a0"/>
    <w:link w:val="9"/>
    <w:uiPriority w:val="9"/>
    <w:semiHidden/>
    <w:rsid w:val="005D1091"/>
    <w:rPr>
      <w:rFonts w:eastAsiaTheme="majorEastAsia" w:cstheme="majorBidi"/>
      <w:color w:val="272727" w:themeColor="text1" w:themeTint="D8"/>
    </w:rPr>
  </w:style>
  <w:style w:type="paragraph" w:styleId="a3">
    <w:name w:val="Title"/>
    <w:basedOn w:val="a"/>
    <w:next w:val="a"/>
    <w:link w:val="a4"/>
    <w:uiPriority w:val="10"/>
    <w:qFormat/>
    <w:rsid w:val="005D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D10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09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D109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1091"/>
    <w:pPr>
      <w:spacing w:before="160"/>
      <w:jc w:val="center"/>
    </w:pPr>
    <w:rPr>
      <w:i/>
      <w:iCs/>
      <w:color w:val="404040" w:themeColor="text1" w:themeTint="BF"/>
    </w:rPr>
  </w:style>
  <w:style w:type="character" w:customStyle="1" w:styleId="a8">
    <w:name w:val="ציטוט תו"/>
    <w:basedOn w:val="a0"/>
    <w:link w:val="a7"/>
    <w:uiPriority w:val="29"/>
    <w:rsid w:val="005D1091"/>
    <w:rPr>
      <w:i/>
      <w:iCs/>
      <w:color w:val="404040" w:themeColor="text1" w:themeTint="BF"/>
    </w:rPr>
  </w:style>
  <w:style w:type="paragraph" w:styleId="a9">
    <w:name w:val="List Paragraph"/>
    <w:basedOn w:val="a"/>
    <w:uiPriority w:val="34"/>
    <w:qFormat/>
    <w:rsid w:val="005D1091"/>
    <w:pPr>
      <w:ind w:left="720"/>
      <w:contextualSpacing/>
    </w:pPr>
  </w:style>
  <w:style w:type="character" w:styleId="aa">
    <w:name w:val="Intense Emphasis"/>
    <w:basedOn w:val="a0"/>
    <w:uiPriority w:val="21"/>
    <w:qFormat/>
    <w:rsid w:val="005D1091"/>
    <w:rPr>
      <w:i/>
      <w:iCs/>
      <w:color w:val="0F4761" w:themeColor="accent1" w:themeShade="BF"/>
    </w:rPr>
  </w:style>
  <w:style w:type="paragraph" w:styleId="ab">
    <w:name w:val="Intense Quote"/>
    <w:basedOn w:val="a"/>
    <w:next w:val="a"/>
    <w:link w:val="ac"/>
    <w:uiPriority w:val="30"/>
    <w:qFormat/>
    <w:rsid w:val="005D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D1091"/>
    <w:rPr>
      <w:i/>
      <w:iCs/>
      <w:color w:val="0F4761" w:themeColor="accent1" w:themeShade="BF"/>
    </w:rPr>
  </w:style>
  <w:style w:type="character" w:styleId="ad">
    <w:name w:val="Intense Reference"/>
    <w:basedOn w:val="a0"/>
    <w:uiPriority w:val="32"/>
    <w:qFormat/>
    <w:rsid w:val="005D1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2215</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