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38F8" w:rsidRPr="00863CCE" w:rsidRDefault="007038F8" w:rsidP="00863CCE">
      <w:pPr>
        <w:spacing w:after="0" w:line="360" w:lineRule="auto"/>
        <w:jc w:val="both"/>
        <w:rPr>
          <w:rFonts w:ascii="Keren" w:eastAsia="Times New Roman" w:hAnsi="Keren" w:cs="David"/>
          <w:szCs w:val="20"/>
          <w:rtl/>
          <w:lang w:eastAsia="he-IL"/>
          <w14:ligatures w14:val="none"/>
        </w:rPr>
      </w:pPr>
      <w:bookmarkStart w:id="0" w:name="_Toc88356623"/>
      <w:bookmarkStart w:id="1" w:name="_Toc88356467"/>
      <w:bookmarkStart w:id="2" w:name="_Toc88354579"/>
      <w:r w:rsidRPr="00863CCE">
        <w:rPr>
          <w:rFonts w:ascii="Keren" w:eastAsia="Times New Roman" w:hAnsi="Keren" w:cs="David"/>
          <w:b/>
          <w:bCs/>
          <w:sz w:val="26"/>
          <w:szCs w:val="24"/>
          <w:rtl/>
          <w:lang w:eastAsia="he-IL"/>
          <w14:ligatures w14:val="none"/>
        </w:rPr>
        <w:t>חייב אדם לברך על הרעה כשם שמברך על הטובה</w:t>
      </w:r>
      <w:r w:rsidRPr="00863CCE">
        <w:rPr>
          <w:rFonts w:ascii="Keren" w:eastAsia="Times New Roman" w:hAnsi="Keren" w:cs="David" w:hint="cs"/>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w:instrText>
      </w:r>
      <w:r w:rsidRPr="00863CCE">
        <w:rPr>
          <w:rFonts w:ascii="Keren" w:eastAsia="Times New Roman" w:hAnsi="Keren" w:cs="David"/>
          <w:b/>
          <w:bCs/>
          <w:sz w:val="26"/>
          <w:szCs w:val="24"/>
          <w:rtl/>
          <w:lang w:eastAsia="he-IL"/>
          <w14:ligatures w14:val="none"/>
        </w:rPr>
        <w:instrText>חייב אדם לברך על הרעה כשם שמברך על הטובה:</w:instrText>
      </w:r>
      <w:r w:rsidRPr="00863CCE">
        <w:rPr>
          <w:rFonts w:ascii="Keren" w:eastAsia="Times New Roman" w:hAnsi="Keren" w:cs="David"/>
          <w:sz w:val="20"/>
          <w:szCs w:val="20"/>
          <w:rtl/>
          <w:lang w:eastAsia="he-IL"/>
          <w14:ligatures w14:val="none"/>
        </w:rPr>
        <w:instrText>ערך באוצר המושגים" \</w:instrText>
      </w:r>
      <w:r w:rsidRPr="00863CCE">
        <w:rPr>
          <w:rFonts w:ascii="Keren" w:eastAsia="Times New Roman" w:hAnsi="Keren" w:cs="David" w:hint="cs"/>
          <w:sz w:val="20"/>
          <w:szCs w:val="20"/>
          <w:lang w:eastAsia="he-IL"/>
          <w14:ligatures w14:val="none"/>
        </w:rPr>
        <w:instrText xml:space="preserve">b </w:instrText>
      </w:r>
      <w:r w:rsidRPr="00863CCE">
        <w:rPr>
          <w:rFonts w:ascii="Keren" w:eastAsia="Times New Roman" w:hAnsi="Keren" w:cs="David" w:hint="cs"/>
          <w:sz w:val="20"/>
          <w:szCs w:val="20"/>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 ולקבלנה בשמחה</w:t>
      </w:r>
      <w:bookmarkEnd w:id="0"/>
      <w:bookmarkEnd w:id="1"/>
      <w:bookmarkEnd w:id="2"/>
    </w:p>
    <w:p w:rsidR="007038F8" w:rsidRPr="00863CCE" w:rsidRDefault="007038F8"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הגמרא (ברכות ס, ב) מביאה ארבעה מקורות מהפסוקים לעיקרון זה:</w:t>
      </w:r>
    </w:p>
    <w:p w:rsidR="007038F8" w:rsidRPr="00863CCE" w:rsidRDefault="007038F8"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אמר ר' אחא משום ר' לוי מאי קרא? "חֶסֶד וּמִשְׁפָּט אָשִׁירָה לְךָ ה' אֲזַמֵּרָה" – אם חסד אשירה, אם משפט אשירה. </w:t>
      </w:r>
    </w:p>
    <w:p w:rsidR="007038F8" w:rsidRPr="00863CCE" w:rsidRDefault="007038F8"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ר' שמואל בר נחמני אמר מהכא: "בֵּאלֹהִים אֲהַלֵּל דָּבָר בַּה' אֲהַלֵּל דָּבָר" – בה' אהלל דבר זו מידה טובה, באלוהים אהלל דבר זו מידת פורענות ( שם ה' נחשב למידת החסד, בניגוד לשם אלוקים הנחשב למידת הדין). </w:t>
      </w:r>
    </w:p>
    <w:p w:rsidR="007038F8" w:rsidRPr="00863CCE" w:rsidRDefault="007038F8" w:rsidP="00863CCE">
      <w:pPr>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ר' תנחום אמר מהכא: "כּוֹס יְשׁוּעוֹת אֶשָּׂא וּבְשֵׁם ה' אֶקְרָא", "צָרָה וְיָגוֹן אֶמְצָא וּבְשֵׁם ה' אֶקְרָא". </w:t>
      </w:r>
    </w:p>
    <w:p w:rsidR="007038F8" w:rsidRPr="00863CCE" w:rsidRDefault="007038F8"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רבנן אמרי מהכא: " ה' נָתַן וַה' לָקָח יְהִי שֵׁם ה' מְבֹרָךְ" </w:t>
      </w:r>
    </w:p>
    <w:p w:rsidR="007038F8" w:rsidRPr="00863CCE" w:rsidRDefault="007038F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בשלחן ערוך (אורח חיים סימן רכב, ב) נפסק:</w:t>
      </w:r>
    </w:p>
    <w:p w:rsidR="007038F8" w:rsidRPr="00863CCE" w:rsidRDefault="007038F8"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חייב אדם לברך על הרעה, בדעת שלמה ובנפש חפצה, כדרך שמברך בשמחה על הטובה. כי הרעה לעובדי ה' היא שמחתם וטובתם, כיון שמקבל באהבה מה שגזר עליו ה', נמצא שבקבלת רעה זו הוא עובד את ה', שהיא שמחה לו.</w:t>
      </w:r>
    </w:p>
    <w:p w:rsidR="007038F8" w:rsidRPr="00863CCE" w:rsidRDefault="007038F8"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הראי"ה קוק בסידורו עולת ראיה (חלק א, עמוד תג), מתייחס לעניין בלשונו הפיוטית. </w:t>
      </w:r>
    </w:p>
    <w:p w:rsidR="007038F8" w:rsidRPr="00863CCE" w:rsidRDefault="007038F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בטול הרגש, עד שלא יבחין בין טובה לרעה, ולא יעריך כלל ערך עצמותו הפרטית בזה, אינה ממעלת הנפשות, ולא זאת היא התעודה הראויה לאיש המעלה. כי אם ידֹע ידע האיש המשכיל את הטוב ואת הרע, את נעם טוב החיים ואת מגרעת מחסור הרע גם שבחיי ההווה לכל פרטיהם, ויעריכם בערכם הראוי.</w:t>
      </w:r>
    </w:p>
    <w:p w:rsidR="007038F8" w:rsidRPr="00863CCE" w:rsidRDefault="007038F8" w:rsidP="00863CCE">
      <w:pPr>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6"/>
          <w:szCs w:val="16"/>
          <w:rtl/>
          <w:lang w:eastAsia="he-IL"/>
          <w14:ligatures w14:val="none"/>
        </w:rPr>
        <w:t>(כלומר, העיקרון של לברך על הרעה כשם שמברכים  על הטובה, אסור לו שיטשטש אצל האדם את ההבדלים בין טוב לרע ובין שמחה לעצב. להפך – האדם המשכיל צריך להבחין ולדעת ולהעריך את הטוב ואת הנעם בניגוד לרע ולמחסור. אם כן – כיצד אפשר לברך על הרעה באותה הרגשה שמברכים על הטובה?)</w:t>
      </w:r>
    </w:p>
    <w:p w:rsidR="007038F8" w:rsidRPr="00863CCE" w:rsidRDefault="007038F8"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אמנם ידע שיותר מכל אלה באין ערוך הוא הטוב האלהי והיושר המלא של ההשגחה העליונה, שראוי להמסר אליה בכל לב ונפש. על כן עם כל ידיעתו והרגשתו במעלות החיים וערכיהם, יקבל בשמחה את כל אשר נטל עליו, מאהבת השם יתברך ודרכיו המלאים צדק ומישרים. ואף על פי שהברכות שעל המאורעות, צריכות להיות במטבע ההרגשה שמרגשת בהם הנפש באותה שעה, ובהכרח הן משתנות בין טוב לרע, אבל הדעת השלמה עולה וכוללת כל אלה במשפט ובחשבון, לקבלינהו בשמחה.</w:t>
      </w:r>
    </w:p>
    <w:p w:rsidR="007038F8" w:rsidRPr="00863CCE" w:rsidRDefault="007038F8" w:rsidP="00863CCE">
      <w:pPr>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6"/>
          <w:szCs w:val="16"/>
          <w:rtl/>
          <w:lang w:eastAsia="he-IL"/>
          <w14:ligatures w14:val="none"/>
        </w:rPr>
        <w:t>(אמנם צריך האדם לדעת שהטוב האלהי והיושר של ההשגחה העליונה הוא לאין ערוך יותר מכל ההסתכלויות וההרגשות האנושיים המצומצמים. ומתוך אהבת ה' והכרת העיקרון שכל מעשי ה' במשפט, בחמלה ובצדק; יבוא לכלל דעת שלמה המאפשרת לאדם המעלה לברך על הרעה מתוך השלמה ואפילו שמחה, ממש כאילו היה מברך על הטובה.)</w:t>
      </w:r>
    </w:p>
    <w:p w:rsidR="007038F8" w:rsidRPr="00863CCE" w:rsidRDefault="007038F8"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בספר מעבר יַבֹּק כתב בהקשר זה על מנחמי האבלים: </w:t>
      </w:r>
    </w:p>
    <w:p w:rsidR="007038F8" w:rsidRPr="00863CCE" w:rsidRDefault="007038F8" w:rsidP="00863CCE">
      <w:pPr>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ועיקר הנחמה הוא שיצדק דין שמים בלב האבל עד שבפיו יודה למלך המשפט ויברך על הרעה מעין הטובה, שאז יזכה למה שאמר הנביא "כִּי לָקְחָה מִיַּד ה' כִּפְלַיִם בְּכָל חַטֹּאתֶיהָ". ירצה כי ישראל יקבלו נחמות כפלים מחטאתיהם, אחד על כי יעשו תשובה מאהבה, ושנית על קבלת היסורים מאהבה וכן צריך האבל לקיים בעצמו. והמנחמים יזכירו ויזהירו על זה (מאמר שפתי רננות פרק יט).</w:t>
      </w:r>
    </w:p>
    <w:p w:rsidR="00D5072B" w:rsidRDefault="007038F8">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צידוק הדין</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ניחום אבלים.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F8"/>
    <w:rsid w:val="000D0A23"/>
    <w:rsid w:val="002C1211"/>
    <w:rsid w:val="005C4B14"/>
    <w:rsid w:val="007038F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524A2-6A25-4006-B74B-C5F217D7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03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3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38F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38F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38F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38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38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38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38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038F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038F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038F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038F8"/>
    <w:rPr>
      <w:rFonts w:eastAsiaTheme="majorEastAsia" w:cstheme="majorBidi"/>
      <w:i/>
      <w:iCs/>
      <w:color w:val="0F4761" w:themeColor="accent1" w:themeShade="BF"/>
    </w:rPr>
  </w:style>
  <w:style w:type="character" w:customStyle="1" w:styleId="50">
    <w:name w:val="כותרת 5 תו"/>
    <w:basedOn w:val="a0"/>
    <w:link w:val="5"/>
    <w:uiPriority w:val="9"/>
    <w:semiHidden/>
    <w:rsid w:val="007038F8"/>
    <w:rPr>
      <w:rFonts w:eastAsiaTheme="majorEastAsia" w:cstheme="majorBidi"/>
      <w:color w:val="0F4761" w:themeColor="accent1" w:themeShade="BF"/>
    </w:rPr>
  </w:style>
  <w:style w:type="character" w:customStyle="1" w:styleId="60">
    <w:name w:val="כותרת 6 תו"/>
    <w:basedOn w:val="a0"/>
    <w:link w:val="6"/>
    <w:uiPriority w:val="9"/>
    <w:semiHidden/>
    <w:rsid w:val="007038F8"/>
    <w:rPr>
      <w:rFonts w:eastAsiaTheme="majorEastAsia" w:cstheme="majorBidi"/>
      <w:i/>
      <w:iCs/>
      <w:color w:val="595959" w:themeColor="text1" w:themeTint="A6"/>
    </w:rPr>
  </w:style>
  <w:style w:type="character" w:customStyle="1" w:styleId="70">
    <w:name w:val="כותרת 7 תו"/>
    <w:basedOn w:val="a0"/>
    <w:link w:val="7"/>
    <w:uiPriority w:val="9"/>
    <w:semiHidden/>
    <w:rsid w:val="007038F8"/>
    <w:rPr>
      <w:rFonts w:eastAsiaTheme="majorEastAsia" w:cstheme="majorBidi"/>
      <w:color w:val="595959" w:themeColor="text1" w:themeTint="A6"/>
    </w:rPr>
  </w:style>
  <w:style w:type="character" w:customStyle="1" w:styleId="80">
    <w:name w:val="כותרת 8 תו"/>
    <w:basedOn w:val="a0"/>
    <w:link w:val="8"/>
    <w:uiPriority w:val="9"/>
    <w:semiHidden/>
    <w:rsid w:val="007038F8"/>
    <w:rPr>
      <w:rFonts w:eastAsiaTheme="majorEastAsia" w:cstheme="majorBidi"/>
      <w:i/>
      <w:iCs/>
      <w:color w:val="272727" w:themeColor="text1" w:themeTint="D8"/>
    </w:rPr>
  </w:style>
  <w:style w:type="character" w:customStyle="1" w:styleId="90">
    <w:name w:val="כותרת 9 תו"/>
    <w:basedOn w:val="a0"/>
    <w:link w:val="9"/>
    <w:uiPriority w:val="9"/>
    <w:semiHidden/>
    <w:rsid w:val="007038F8"/>
    <w:rPr>
      <w:rFonts w:eastAsiaTheme="majorEastAsia" w:cstheme="majorBidi"/>
      <w:color w:val="272727" w:themeColor="text1" w:themeTint="D8"/>
    </w:rPr>
  </w:style>
  <w:style w:type="paragraph" w:styleId="a3">
    <w:name w:val="Title"/>
    <w:basedOn w:val="a"/>
    <w:next w:val="a"/>
    <w:link w:val="a4"/>
    <w:uiPriority w:val="10"/>
    <w:qFormat/>
    <w:rsid w:val="00703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038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38F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038F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038F8"/>
    <w:pPr>
      <w:spacing w:before="160"/>
      <w:jc w:val="center"/>
    </w:pPr>
    <w:rPr>
      <w:i/>
      <w:iCs/>
      <w:color w:val="404040" w:themeColor="text1" w:themeTint="BF"/>
    </w:rPr>
  </w:style>
  <w:style w:type="character" w:customStyle="1" w:styleId="a8">
    <w:name w:val="ציטוט תו"/>
    <w:basedOn w:val="a0"/>
    <w:link w:val="a7"/>
    <w:uiPriority w:val="29"/>
    <w:rsid w:val="007038F8"/>
    <w:rPr>
      <w:i/>
      <w:iCs/>
      <w:color w:val="404040" w:themeColor="text1" w:themeTint="BF"/>
    </w:rPr>
  </w:style>
  <w:style w:type="paragraph" w:styleId="a9">
    <w:name w:val="List Paragraph"/>
    <w:basedOn w:val="a"/>
    <w:uiPriority w:val="34"/>
    <w:qFormat/>
    <w:rsid w:val="007038F8"/>
    <w:pPr>
      <w:ind w:left="720"/>
      <w:contextualSpacing/>
    </w:pPr>
  </w:style>
  <w:style w:type="character" w:styleId="aa">
    <w:name w:val="Intense Emphasis"/>
    <w:basedOn w:val="a0"/>
    <w:uiPriority w:val="21"/>
    <w:qFormat/>
    <w:rsid w:val="007038F8"/>
    <w:rPr>
      <w:i/>
      <w:iCs/>
      <w:color w:val="0F4761" w:themeColor="accent1" w:themeShade="BF"/>
    </w:rPr>
  </w:style>
  <w:style w:type="paragraph" w:styleId="ab">
    <w:name w:val="Intense Quote"/>
    <w:basedOn w:val="a"/>
    <w:next w:val="a"/>
    <w:link w:val="ac"/>
    <w:uiPriority w:val="30"/>
    <w:qFormat/>
    <w:rsid w:val="00703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038F8"/>
    <w:rPr>
      <w:i/>
      <w:iCs/>
      <w:color w:val="0F4761" w:themeColor="accent1" w:themeShade="BF"/>
    </w:rPr>
  </w:style>
  <w:style w:type="character" w:styleId="ad">
    <w:name w:val="Intense Reference"/>
    <w:basedOn w:val="a0"/>
    <w:uiPriority w:val="32"/>
    <w:qFormat/>
    <w:rsid w:val="00703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440</Words>
  <Characters>2201</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