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C1945" w:rsidRPr="00863CCE" w:rsidRDefault="003C1945" w:rsidP="00863CCE">
      <w:pPr>
        <w:spacing w:after="0" w:line="360" w:lineRule="auto"/>
        <w:jc w:val="both"/>
        <w:outlineLvl w:val="6"/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</w:pPr>
      <w:bookmarkStart w:id="0" w:name="_Toc8853033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>טומאת המת</w:t>
      </w:r>
      <w:bookmarkEnd w:id="0"/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begin"/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 XE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instrText>"טומאת המת:ערך באוצר המושגים" \</w:instrText>
      </w:r>
      <w:r w:rsidRPr="00863CCE">
        <w:rPr>
          <w:rFonts w:ascii="Keren" w:eastAsia="Times New Roman" w:hAnsi="Keren" w:cs="David" w:hint="cs"/>
          <w:b/>
          <w:bCs/>
          <w:sz w:val="26"/>
          <w:szCs w:val="24"/>
          <w:lang w:eastAsia="he-IL"/>
          <w14:ligatures w14:val="none"/>
        </w:rPr>
        <w:instrText xml:space="preserve">b </w:instrText>
      </w:r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fldChar w:fldCharType="end"/>
      </w:r>
    </w:p>
    <w:p w:rsidR="003C1945" w:rsidRPr="00863CCE" w:rsidRDefault="003C1945" w:rsidP="00863CCE">
      <w:pPr>
        <w:spacing w:after="0" w:line="360" w:lineRule="auto"/>
        <w:jc w:val="both"/>
        <w:rPr>
          <w:rFonts w:ascii="Arial" w:eastAsia="Times New Roman" w:hAnsi="Arial" w:cs="David"/>
          <w:szCs w:val="20"/>
          <w:rtl/>
          <w:lang w:eastAsia="he-IL"/>
          <w14:ligatures w14:val="none"/>
        </w:rPr>
      </w:pPr>
      <w:r w:rsidRPr="00863CCE">
        <w:rPr>
          <w:rFonts w:ascii="Arial" w:eastAsia="Times New Roman" w:hAnsi="Arial" w:cs="David"/>
          <w:szCs w:val="20"/>
          <w:rtl/>
          <w:lang w:eastAsia="he-IL"/>
          <w14:ligatures w14:val="none"/>
        </w:rPr>
        <w:t xml:space="preserve">הטומאה החמורה ביותר מכלל הטומאות ונקראת אבי אבות הטומאה. טומאה זו נידונת יחד עם שאר הטומאות בסדר טהרות בפרט, ובש"ס בכלל. </w:t>
      </w:r>
    </w:p>
    <w:p w:rsidR="00D5072B" w:rsidRDefault="003C1945">
      <w:r w:rsidRPr="00863CCE">
        <w:rPr>
          <w:rFonts w:ascii="Arial" w:eastAsia="Times New Roman" w:hAnsi="Arial" w:cs="David"/>
          <w:szCs w:val="20"/>
          <w:rtl/>
          <w:lang w:eastAsia="he-IL"/>
          <w14:ligatures w14:val="none"/>
        </w:rPr>
        <w:t xml:space="preserve">טומאה בכלל היא מושג מיוחד בתורה, שאינו קשור להיגיינה אלא היא אחת מחוקות התורה שאין להן הסבר. </w:t>
      </w:r>
      <w:r w:rsidRPr="00863CCE">
        <w:rPr>
          <w:rFonts w:ascii="Keren" w:eastAsia="Times New Roman" w:hAnsi="Keren" w:cs="David"/>
          <w:szCs w:val="20"/>
          <w:rtl/>
          <w:lang w:eastAsia="he-IL"/>
          <w14:ligatures w14:val="none"/>
        </w:rPr>
        <w:t>במאמר טומאה וטהרה שבספר (פרק @) ניסינו לתת הסבר וטעם לסיבות הגורמות לטומאה, וכיצד משפיעים הגורמים המטהרים.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945"/>
    <w:rsid w:val="000D0A23"/>
    <w:rsid w:val="002C1211"/>
    <w:rsid w:val="003C1945"/>
    <w:rsid w:val="005C4B14"/>
    <w:rsid w:val="00AA7185"/>
    <w:rsid w:val="00B22A00"/>
    <w:rsid w:val="00D5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BB5FF2-A54B-4078-92C9-B85164E5C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C1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C1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C1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C1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C19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C194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C19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C194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C19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C19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C1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C1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C1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1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C19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194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19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1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C19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19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310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2025-12-04T23:11:00Z</dcterms:created>
  <dcterms:modified xsi:type="dcterms:W3CDTF">2025-12-04T23:11:00Z</dcterms:modified>
</cp:coreProperties>
</file>