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5676" w:rsidRPr="00863CCE" w:rsidRDefault="00075676"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31"/>
      <w:r w:rsidRPr="00863CCE">
        <w:rPr>
          <w:rFonts w:ascii="Keren" w:eastAsia="Times New Roman" w:hAnsi="Keren" w:cs="David"/>
          <w:b/>
          <w:bCs/>
          <w:sz w:val="26"/>
          <w:szCs w:val="24"/>
          <w:rtl/>
          <w:lang w:eastAsia="he-IL"/>
          <w14:ligatures w14:val="none"/>
        </w:rPr>
        <w:t>טומאת כהן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"טומאת כהן:ערך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75676" w:rsidRPr="00863CCE" w:rsidRDefault="0007567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אסור לכהן להיטמא למת, חוץ מאשר לשבעה קרוביו שמצוה להיטמא להם: אביו ואמו, בנו ובתו, אחיו ואחותו הבתולה (מאביו, אבל לא אחים שהם רק מצד אמו), ולאשתו (ויקרא כא, א – ג; יבמות ס, א). לשאר קרוביו (כגון אחים מאם או אחות נשואה), אף על פי שאינו נטמא, בכל זאת מתאבל עליהם. העיקרון הוא שחובת הכהן להיטמא היא לצורך המת וקבורתו. לגבי אחות נשואה או באחים למחצה רק מצד האם, לא חייבה תורה את הכהן להיטמא אלא הטילה חובה זו על קרובים אחרים. </w:t>
      </w:r>
    </w:p>
    <w:p w:rsidR="00075676" w:rsidRPr="00863CCE" w:rsidRDefault="0007567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הכהן מצווה להיטמא גם למת מצוה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מת מצוה:</w:instrText>
      </w:r>
      <w:r w:rsidRPr="00863CCE">
        <w:rPr>
          <w:rFonts w:ascii="Keren" w:eastAsia="Times New Roman" w:hAnsi="Keren" w:cs="David"/>
          <w:sz w:val="28"/>
          <w:szCs w:val="24"/>
          <w:rtl/>
          <w:lang w:eastAsia="he-IL"/>
          <w14:ligatures w14:val="none"/>
        </w:rPr>
        <w:instrText>כהן נטמא לו"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החובה וההיתר להיטמא הם בקבורה, ועד סתימת הגולל בלבד. אבל אסור לו להיטמא בשבעה או כשעולים לקבר. ופתגם הוא – מה לכהן בבית הקברות.</w:t>
      </w:r>
    </w:p>
    <w:p w:rsidR="00075676" w:rsidRPr="00863CCE" w:rsidRDefault="0007567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אסור לכהנים להיכנס באהלי קברי צדיקים. ואף על פי שכתוב במדרש (ילקוט שמעוני משלי סימן תתקמד) שצדיקים אין מטמאים במיתתם, אין לסמוך על כך. בהקשר זה כתוב בתוספות (בבא מציעא קיד, ב, ד"ה מהו) שאליהו הנביא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"אישים:אליהו הנביא"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שהיה כהן קבר את רבי עקיבא, ונטמא לו בגלל שהיה מת מצוה, ולא מהטעם שצדיקים אינם מטמאים. </w:t>
      </w:r>
    </w:p>
    <w:p w:rsidR="00075676" w:rsidRPr="00863CCE" w:rsidRDefault="0007567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כהנת לא מוזהרת על הטומאה שנאמר "בני אהרן" ולא בנות אהרן. אשת כהן מעוברת וקרבו ימיה ללדת, מותרת להיכנס באהל המת (שפתי כהן על יורה דעה סימן שעא סעיף קטן א). </w:t>
      </w:r>
    </w:p>
    <w:p w:rsidR="00075676" w:rsidRPr="00863CCE" w:rsidRDefault="0007567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לפי הרמב"ם טומאת כהן דחויה היא אצל הקרובים (פרק ב' מהלכות אבל הלכה ו והלכה טו). ולפי הרמב"ן טומאת כהן הותרה לגמרי אצל קרובים ואינה דחויה. כיון שאי אפשר לקיים את קבורת המת אלא רק כשהכהן עובר על לא תעשה של טומאת כהנים, על כרחך שהתורה התירה לגמרי את האיסור. (תורת האדם שער המיחוש עניין הכהנים סוף ד"ה תורת; כתבי רמב"ן כרך ב, עמוד קלז במהדורת שעוועל).</w:t>
      </w:r>
    </w:p>
    <w:p w:rsidR="00D5072B" w:rsidRDefault="00075676">
      <w:r w:rsidRPr="00863CCE">
        <w:rPr>
          <w:rFonts w:ascii="Keren" w:eastAsia="Times New Roman" w:hAnsi="Keren" w:cs="David"/>
          <w:szCs w:val="20"/>
          <w:rtl/>
          <w:lang w:eastAsia="he-IL"/>
          <w14:ligatures w14:val="none"/>
        </w:rPr>
        <w:t xml:space="preserve">הלכות טומאת כהן מופיעות בשלחן ערוך יורה דעה שס"ט - שע"ד. ע"ע </w:t>
      </w:r>
      <w:r w:rsidRPr="00863CCE">
        <w:rPr>
          <w:rFonts w:ascii="Keren" w:eastAsia="Times New Roman" w:hAnsi="Keren" w:cs="David"/>
          <w:b/>
          <w:bCs/>
          <w:szCs w:val="20"/>
          <w:rtl/>
          <w:lang w:eastAsia="he-IL"/>
          <w14:ligatures w14:val="none"/>
        </w:rPr>
        <w:t>טומאת המת. בית הקברות.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676"/>
    <w:rsid w:val="00075676"/>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0345D2-5C91-4CDD-983A-E09F61D8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5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5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56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56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56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56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56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56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56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7567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7567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7567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75676"/>
    <w:rPr>
      <w:rFonts w:eastAsiaTheme="majorEastAsia" w:cstheme="majorBidi"/>
      <w:i/>
      <w:iCs/>
      <w:color w:val="0F4761" w:themeColor="accent1" w:themeShade="BF"/>
    </w:rPr>
  </w:style>
  <w:style w:type="character" w:customStyle="1" w:styleId="50">
    <w:name w:val="כותרת 5 תו"/>
    <w:basedOn w:val="a0"/>
    <w:link w:val="5"/>
    <w:uiPriority w:val="9"/>
    <w:semiHidden/>
    <w:rsid w:val="00075676"/>
    <w:rPr>
      <w:rFonts w:eastAsiaTheme="majorEastAsia" w:cstheme="majorBidi"/>
      <w:color w:val="0F4761" w:themeColor="accent1" w:themeShade="BF"/>
    </w:rPr>
  </w:style>
  <w:style w:type="character" w:customStyle="1" w:styleId="60">
    <w:name w:val="כותרת 6 תו"/>
    <w:basedOn w:val="a0"/>
    <w:link w:val="6"/>
    <w:uiPriority w:val="9"/>
    <w:semiHidden/>
    <w:rsid w:val="00075676"/>
    <w:rPr>
      <w:rFonts w:eastAsiaTheme="majorEastAsia" w:cstheme="majorBidi"/>
      <w:i/>
      <w:iCs/>
      <w:color w:val="595959" w:themeColor="text1" w:themeTint="A6"/>
    </w:rPr>
  </w:style>
  <w:style w:type="character" w:customStyle="1" w:styleId="70">
    <w:name w:val="כותרת 7 תו"/>
    <w:basedOn w:val="a0"/>
    <w:link w:val="7"/>
    <w:uiPriority w:val="9"/>
    <w:semiHidden/>
    <w:rsid w:val="00075676"/>
    <w:rPr>
      <w:rFonts w:eastAsiaTheme="majorEastAsia" w:cstheme="majorBidi"/>
      <w:color w:val="595959" w:themeColor="text1" w:themeTint="A6"/>
    </w:rPr>
  </w:style>
  <w:style w:type="character" w:customStyle="1" w:styleId="80">
    <w:name w:val="כותרת 8 תו"/>
    <w:basedOn w:val="a0"/>
    <w:link w:val="8"/>
    <w:uiPriority w:val="9"/>
    <w:semiHidden/>
    <w:rsid w:val="00075676"/>
    <w:rPr>
      <w:rFonts w:eastAsiaTheme="majorEastAsia" w:cstheme="majorBidi"/>
      <w:i/>
      <w:iCs/>
      <w:color w:val="272727" w:themeColor="text1" w:themeTint="D8"/>
    </w:rPr>
  </w:style>
  <w:style w:type="character" w:customStyle="1" w:styleId="90">
    <w:name w:val="כותרת 9 תו"/>
    <w:basedOn w:val="a0"/>
    <w:link w:val="9"/>
    <w:uiPriority w:val="9"/>
    <w:semiHidden/>
    <w:rsid w:val="00075676"/>
    <w:rPr>
      <w:rFonts w:eastAsiaTheme="majorEastAsia" w:cstheme="majorBidi"/>
      <w:color w:val="272727" w:themeColor="text1" w:themeTint="D8"/>
    </w:rPr>
  </w:style>
  <w:style w:type="paragraph" w:styleId="a3">
    <w:name w:val="Title"/>
    <w:basedOn w:val="a"/>
    <w:next w:val="a"/>
    <w:link w:val="a4"/>
    <w:uiPriority w:val="10"/>
    <w:qFormat/>
    <w:rsid w:val="00075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756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67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7567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5676"/>
    <w:pPr>
      <w:spacing w:before="160"/>
      <w:jc w:val="center"/>
    </w:pPr>
    <w:rPr>
      <w:i/>
      <w:iCs/>
      <w:color w:val="404040" w:themeColor="text1" w:themeTint="BF"/>
    </w:rPr>
  </w:style>
  <w:style w:type="character" w:customStyle="1" w:styleId="a8">
    <w:name w:val="ציטוט תו"/>
    <w:basedOn w:val="a0"/>
    <w:link w:val="a7"/>
    <w:uiPriority w:val="29"/>
    <w:rsid w:val="00075676"/>
    <w:rPr>
      <w:i/>
      <w:iCs/>
      <w:color w:val="404040" w:themeColor="text1" w:themeTint="BF"/>
    </w:rPr>
  </w:style>
  <w:style w:type="paragraph" w:styleId="a9">
    <w:name w:val="List Paragraph"/>
    <w:basedOn w:val="a"/>
    <w:uiPriority w:val="34"/>
    <w:qFormat/>
    <w:rsid w:val="00075676"/>
    <w:pPr>
      <w:ind w:left="720"/>
      <w:contextualSpacing/>
    </w:pPr>
  </w:style>
  <w:style w:type="character" w:styleId="aa">
    <w:name w:val="Intense Emphasis"/>
    <w:basedOn w:val="a0"/>
    <w:uiPriority w:val="21"/>
    <w:qFormat/>
    <w:rsid w:val="00075676"/>
    <w:rPr>
      <w:i/>
      <w:iCs/>
      <w:color w:val="0F4761" w:themeColor="accent1" w:themeShade="BF"/>
    </w:rPr>
  </w:style>
  <w:style w:type="paragraph" w:styleId="ab">
    <w:name w:val="Intense Quote"/>
    <w:basedOn w:val="a"/>
    <w:next w:val="a"/>
    <w:link w:val="ac"/>
    <w:uiPriority w:val="30"/>
    <w:qFormat/>
    <w:rsid w:val="00075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75676"/>
    <w:rPr>
      <w:i/>
      <w:iCs/>
      <w:color w:val="0F4761" w:themeColor="accent1" w:themeShade="BF"/>
    </w:rPr>
  </w:style>
  <w:style w:type="character" w:styleId="ad">
    <w:name w:val="Intense Reference"/>
    <w:basedOn w:val="a0"/>
    <w:uiPriority w:val="32"/>
    <w:qFormat/>
    <w:rsid w:val="000756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1299</Characters>
  <Application>Microsoft Office Word</Application>
  <DocSecurity>0</DocSecurity>
  <Lines>10</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