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F3038" w:rsidRPr="00863CCE" w:rsidRDefault="009F3038" w:rsidP="00863CCE">
      <w:pPr>
        <w:spacing w:after="0" w:line="360" w:lineRule="auto"/>
        <w:jc w:val="both"/>
        <w:outlineLvl w:val="6"/>
        <w:rPr>
          <w:rFonts w:ascii="Keren" w:eastAsia="Times New Roman" w:hAnsi="Keren" w:cs="David"/>
          <w:b/>
          <w:bCs/>
          <w:szCs w:val="20"/>
          <w:rtl/>
          <w:lang w:eastAsia="he-IL"/>
          <w14:ligatures w14:val="none"/>
        </w:rPr>
      </w:pPr>
      <w:bookmarkStart w:id="0" w:name="_Toc88530337"/>
      <w:r w:rsidRPr="00863CCE">
        <w:rPr>
          <w:rFonts w:ascii="Keren" w:eastAsia="Times New Roman" w:hAnsi="Keren" w:cs="David"/>
          <w:b/>
          <w:bCs/>
          <w:sz w:val="26"/>
          <w:szCs w:val="24"/>
          <w:rtl/>
          <w:lang w:eastAsia="he-IL"/>
          <w14:ligatures w14:val="none"/>
        </w:rPr>
        <w:t>יום השנה</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"יום השנה:ערך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9F3038" w:rsidRPr="00863CCE" w:rsidRDefault="009F3038"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מנהגים רבים נוהגים סביב יום השנה לפטירת קרוב או צדיק. ביום זה אומרים קדיש, ואם אפשר גם עובר הבן לפני התיבה. בשבת שלפני יום השנה יש לו דין קדימה למפטיר</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Cs w:val="20"/>
          <w:rtl/>
          <w:lang w:eastAsia="he-IL"/>
          <w14:ligatures w14:val="none"/>
        </w:rPr>
        <w:instrText>מפטיר:</w:instrText>
      </w:r>
      <w:r w:rsidRPr="00863CCE">
        <w:rPr>
          <w:rFonts w:ascii="Keren" w:eastAsia="Times New Roman" w:hAnsi="Keren" w:cs="David"/>
          <w:sz w:val="28"/>
          <w:szCs w:val="24"/>
          <w:rtl/>
          <w:lang w:eastAsia="he-IL"/>
          <w14:ligatures w14:val="none"/>
        </w:rPr>
        <w:instrText>בשבת לפני יום השנה</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 ולתפילת מוסף שלאחריה. נהגו גם שעובר לפני התיבה במוצאי שבת שלפני יום השנה. </w:t>
      </w:r>
      <w:r w:rsidRPr="00863CCE">
        <w:rPr>
          <w:rFonts w:ascii="Keren" w:eastAsia="Times New Roman" w:hAnsi="Keren" w:cs="David"/>
          <w:b/>
          <w:bCs/>
          <w:szCs w:val="20"/>
          <w:rtl/>
          <w:lang w:eastAsia="he-IL"/>
          <w14:ligatures w14:val="none"/>
        </w:rPr>
        <w:t>הערת הרב נבנצל שליט"א</w:t>
      </w:r>
      <w:r w:rsidRPr="00863CCE">
        <w:rPr>
          <w:rFonts w:ascii="Keren" w:eastAsia="Times New Roman" w:hAnsi="Keren" w:cs="David"/>
          <w:szCs w:val="20"/>
          <w:rtl/>
          <w:lang w:eastAsia="he-IL"/>
          <w14:ligatures w14:val="none"/>
        </w:rPr>
        <w:t xml:space="preserve"> – ויש אומרים שבמוצאי שבת לא יעבור לפני התיבה, שלא להחזיק הוריו ח"ו כרשעים. </w:t>
      </w:r>
    </w:p>
    <w:p w:rsidR="00D5072B" w:rsidRDefault="009F3038">
      <w:r w:rsidRPr="00863CCE">
        <w:rPr>
          <w:rFonts w:ascii="Keren" w:eastAsia="Times New Roman" w:hAnsi="Keren" w:cs="David"/>
          <w:szCs w:val="20"/>
          <w:rtl/>
          <w:lang w:eastAsia="he-IL"/>
          <w14:ligatures w14:val="none"/>
        </w:rPr>
        <w:t xml:space="preserve">על פי מה שכתוב בכתבי האר"י, ביום השנה זוכה הנשמה לעלות למדרגה יותר מעולה (כמו שמובא בגשר החיים פרק לב, א). לכן ביום זה מתפללים ונודבים צדקה לעילוי נשמתו. מנהג קדום היה לצום ביום שמת בו אביו או אמו. עניין זה נזכר כבר בגמרא (נדרים יב ,א). ונפסק בשלחן ערוך (אורח חיים תקסח, ח; ובמקומות נוספים). הטעם על פי הקבלה הוא כדברי האריז"ל: כדי שיפשפש במעשיו ויתחרט עליהם, ועל ידי זה מזכה את אביו ואת אמו למדרגה עליונה בגן עדן. וכבר נתפשט בעולם מנהג החסידים שאין מתענים ביום זה, אלא מביאים לבית הכנסת מיני מאכל ומשקה חריף, ולאחר התפילה מברכים המתפללים ברכות על המאכל והשתייה לזכות נשמת הנפטר. והוא נקרא כרגיל "תיקון". </w:t>
      </w:r>
      <w:r w:rsidRPr="00863CCE">
        <w:rPr>
          <w:rFonts w:ascii="Keren" w:eastAsia="Times New Roman" w:hAnsi="Keren" w:cs="David"/>
          <w:b/>
          <w:bCs/>
          <w:szCs w:val="20"/>
          <w:rtl/>
          <w:lang w:eastAsia="he-IL"/>
          <w14:ligatures w14:val="none"/>
        </w:rPr>
        <w:t>הערת הרב נבנצל שליט"א</w:t>
      </w:r>
      <w:r w:rsidRPr="00863CCE">
        <w:rPr>
          <w:rFonts w:ascii="Keren" w:eastAsia="Times New Roman" w:hAnsi="Keren" w:cs="David"/>
          <w:szCs w:val="20"/>
          <w:rtl/>
          <w:lang w:eastAsia="he-IL"/>
          <w14:ligatures w14:val="none"/>
        </w:rPr>
        <w:t xml:space="preserve"> – ולדעת הגר"א אין צורך לצום, כי הגמרא עסקה רק באותה שנה שמת אביו או רבו. ע"ע </w:t>
      </w:r>
      <w:r w:rsidRPr="00863CCE">
        <w:rPr>
          <w:rFonts w:ascii="Keren" w:eastAsia="Times New Roman" w:hAnsi="Keren" w:cs="David"/>
          <w:b/>
          <w:bCs/>
          <w:szCs w:val="20"/>
          <w:rtl/>
          <w:lang w:eastAsia="he-IL"/>
          <w14:ligatures w14:val="none"/>
        </w:rPr>
        <w:t>ברכות לעילוי נשמה</w:t>
      </w:r>
      <w:r w:rsidRPr="00863CCE">
        <w:rPr>
          <w:rFonts w:ascii="Keren" w:eastAsia="Times New Roman" w:hAnsi="Keren" w:cs="David"/>
          <w:szCs w:val="20"/>
          <w:rtl/>
          <w:lang w:eastAsia="he-IL"/>
          <w14:ligatures w14:val="none"/>
        </w:rPr>
        <w:t>.</w:t>
      </w:r>
      <w:r w:rsidRPr="00863CCE">
        <w:rPr>
          <w:rFonts w:ascii="Keren" w:eastAsia="Times New Roman" w:hAnsi="Keren" w:cs="David"/>
          <w:sz w:val="26"/>
          <w:szCs w:val="24"/>
          <w:rtl/>
          <w:lang w:eastAsia="he-IL"/>
          <w14:ligatures w14:val="none"/>
        </w:rPr>
        <w:t xml:space="preserve"> </w:t>
      </w:r>
      <w:r w:rsidRPr="00863CCE">
        <w:rPr>
          <w:rFonts w:ascii="Keren" w:eastAsia="Times New Roman" w:hAnsi="Keren" w:cs="David"/>
          <w:b/>
          <w:bCs/>
          <w:sz w:val="26"/>
          <w:szCs w:val="20"/>
          <w:rtl/>
          <w:lang w:eastAsia="he-IL"/>
          <w14:ligatures w14:val="none"/>
        </w:rPr>
        <w:t xml:space="preserve">הילולה. </w:t>
      </w:r>
      <w:r w:rsidRPr="00863CCE">
        <w:rPr>
          <w:rFonts w:ascii="Keren" w:eastAsia="Times New Roman" w:hAnsi="Keren" w:cs="David"/>
          <w:b/>
          <w:bCs/>
          <w:szCs w:val="20"/>
          <w:rtl/>
          <w:lang w:eastAsia="he-IL"/>
          <w14:ligatures w14:val="none"/>
        </w:rPr>
        <w:t>יארצייט</w:t>
      </w:r>
      <w:r w:rsidRPr="00863CCE">
        <w:rPr>
          <w:rFonts w:ascii="Keren" w:eastAsia="Times New Roman" w:hAnsi="Keren" w:cs="David"/>
          <w:szCs w:val="20"/>
          <w:rtl/>
          <w:lang w:eastAsia="he-IL"/>
          <w14:ligatures w14:val="none"/>
        </w:rPr>
        <w:t>.</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038"/>
    <w:rsid w:val="000D0A23"/>
    <w:rsid w:val="002C1211"/>
    <w:rsid w:val="005C4B14"/>
    <w:rsid w:val="009F3038"/>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EFD452-CE31-4736-8BEE-EA319CBAA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F30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F30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F303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F303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F303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F303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F303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F303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F303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9F3038"/>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9F3038"/>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9F3038"/>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9F3038"/>
    <w:rPr>
      <w:rFonts w:eastAsiaTheme="majorEastAsia" w:cstheme="majorBidi"/>
      <w:i/>
      <w:iCs/>
      <w:color w:val="0F4761" w:themeColor="accent1" w:themeShade="BF"/>
    </w:rPr>
  </w:style>
  <w:style w:type="character" w:customStyle="1" w:styleId="50">
    <w:name w:val="כותרת 5 תו"/>
    <w:basedOn w:val="a0"/>
    <w:link w:val="5"/>
    <w:uiPriority w:val="9"/>
    <w:semiHidden/>
    <w:rsid w:val="009F3038"/>
    <w:rPr>
      <w:rFonts w:eastAsiaTheme="majorEastAsia" w:cstheme="majorBidi"/>
      <w:color w:val="0F4761" w:themeColor="accent1" w:themeShade="BF"/>
    </w:rPr>
  </w:style>
  <w:style w:type="character" w:customStyle="1" w:styleId="60">
    <w:name w:val="כותרת 6 תו"/>
    <w:basedOn w:val="a0"/>
    <w:link w:val="6"/>
    <w:uiPriority w:val="9"/>
    <w:semiHidden/>
    <w:rsid w:val="009F3038"/>
    <w:rPr>
      <w:rFonts w:eastAsiaTheme="majorEastAsia" w:cstheme="majorBidi"/>
      <w:i/>
      <w:iCs/>
      <w:color w:val="595959" w:themeColor="text1" w:themeTint="A6"/>
    </w:rPr>
  </w:style>
  <w:style w:type="character" w:customStyle="1" w:styleId="70">
    <w:name w:val="כותרת 7 תו"/>
    <w:basedOn w:val="a0"/>
    <w:link w:val="7"/>
    <w:uiPriority w:val="9"/>
    <w:semiHidden/>
    <w:rsid w:val="009F3038"/>
    <w:rPr>
      <w:rFonts w:eastAsiaTheme="majorEastAsia" w:cstheme="majorBidi"/>
      <w:color w:val="595959" w:themeColor="text1" w:themeTint="A6"/>
    </w:rPr>
  </w:style>
  <w:style w:type="character" w:customStyle="1" w:styleId="80">
    <w:name w:val="כותרת 8 תו"/>
    <w:basedOn w:val="a0"/>
    <w:link w:val="8"/>
    <w:uiPriority w:val="9"/>
    <w:semiHidden/>
    <w:rsid w:val="009F3038"/>
    <w:rPr>
      <w:rFonts w:eastAsiaTheme="majorEastAsia" w:cstheme="majorBidi"/>
      <w:i/>
      <w:iCs/>
      <w:color w:val="272727" w:themeColor="text1" w:themeTint="D8"/>
    </w:rPr>
  </w:style>
  <w:style w:type="character" w:customStyle="1" w:styleId="90">
    <w:name w:val="כותרת 9 תו"/>
    <w:basedOn w:val="a0"/>
    <w:link w:val="9"/>
    <w:uiPriority w:val="9"/>
    <w:semiHidden/>
    <w:rsid w:val="009F3038"/>
    <w:rPr>
      <w:rFonts w:eastAsiaTheme="majorEastAsia" w:cstheme="majorBidi"/>
      <w:color w:val="272727" w:themeColor="text1" w:themeTint="D8"/>
    </w:rPr>
  </w:style>
  <w:style w:type="paragraph" w:styleId="a3">
    <w:name w:val="Title"/>
    <w:basedOn w:val="a"/>
    <w:next w:val="a"/>
    <w:link w:val="a4"/>
    <w:uiPriority w:val="10"/>
    <w:qFormat/>
    <w:rsid w:val="009F30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9F303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F3038"/>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9F303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F3038"/>
    <w:pPr>
      <w:spacing w:before="160"/>
      <w:jc w:val="center"/>
    </w:pPr>
    <w:rPr>
      <w:i/>
      <w:iCs/>
      <w:color w:val="404040" w:themeColor="text1" w:themeTint="BF"/>
    </w:rPr>
  </w:style>
  <w:style w:type="character" w:customStyle="1" w:styleId="a8">
    <w:name w:val="ציטוט תו"/>
    <w:basedOn w:val="a0"/>
    <w:link w:val="a7"/>
    <w:uiPriority w:val="29"/>
    <w:rsid w:val="009F3038"/>
    <w:rPr>
      <w:i/>
      <w:iCs/>
      <w:color w:val="404040" w:themeColor="text1" w:themeTint="BF"/>
    </w:rPr>
  </w:style>
  <w:style w:type="paragraph" w:styleId="a9">
    <w:name w:val="List Paragraph"/>
    <w:basedOn w:val="a"/>
    <w:uiPriority w:val="34"/>
    <w:qFormat/>
    <w:rsid w:val="009F3038"/>
    <w:pPr>
      <w:ind w:left="720"/>
      <w:contextualSpacing/>
    </w:pPr>
  </w:style>
  <w:style w:type="character" w:styleId="aa">
    <w:name w:val="Intense Emphasis"/>
    <w:basedOn w:val="a0"/>
    <w:uiPriority w:val="21"/>
    <w:qFormat/>
    <w:rsid w:val="009F3038"/>
    <w:rPr>
      <w:i/>
      <w:iCs/>
      <w:color w:val="0F4761" w:themeColor="accent1" w:themeShade="BF"/>
    </w:rPr>
  </w:style>
  <w:style w:type="paragraph" w:styleId="ab">
    <w:name w:val="Intense Quote"/>
    <w:basedOn w:val="a"/>
    <w:next w:val="a"/>
    <w:link w:val="ac"/>
    <w:uiPriority w:val="30"/>
    <w:qFormat/>
    <w:rsid w:val="009F30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9F3038"/>
    <w:rPr>
      <w:i/>
      <w:iCs/>
      <w:color w:val="0F4761" w:themeColor="accent1" w:themeShade="BF"/>
    </w:rPr>
  </w:style>
  <w:style w:type="character" w:styleId="ad">
    <w:name w:val="Intense Reference"/>
    <w:basedOn w:val="a0"/>
    <w:uiPriority w:val="32"/>
    <w:qFormat/>
    <w:rsid w:val="009F30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190</Words>
  <Characters>953</Characters>
  <Application>Microsoft Office Word</Application>
  <DocSecurity>0</DocSecurity>
  <Lines>7</Lines>
  <Paragraphs>2</Paragraphs>
  <ScaleCrop>false</ScaleCrop>
  <Company/>
  <LinksUpToDate>false</LinksUpToDate>
  <CharactersWithSpaces>1141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2025-12-04T23:11:00Z</dcterms:created>
  <dcterms:modified xsi:type="dcterms:W3CDTF">2025-12-04T23:11:00Z</dcterms:modified>
</cp:coreProperties>
</file>