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B54" w:rsidRPr="00863CCE" w:rsidRDefault="00583B5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36"/>
      <w:r w:rsidRPr="00863CCE">
        <w:rPr>
          <w:rFonts w:ascii="Keren" w:eastAsia="Times New Roman" w:hAnsi="Keren" w:cs="David"/>
          <w:b/>
          <w:bCs/>
          <w:sz w:val="26"/>
          <w:szCs w:val="24"/>
          <w:rtl/>
          <w:lang w:eastAsia="he-IL"/>
          <w14:ligatures w14:val="none"/>
        </w:rPr>
        <w:t>יזכור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"יזכור:ערך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נשמה:יזכור וצדקה"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להזכיר את נשמות המתים ולנדב צדקה לעילוי נשמתם.</w:t>
      </w:r>
      <w:r w:rsidRPr="00863CCE">
        <w:rPr>
          <w:rFonts w:ascii="Keren" w:eastAsia="Times New Roman" w:hAnsi="Keren" w:cs="David"/>
          <w:szCs w:val="20"/>
          <w:rtl/>
          <w14:ligatures w14:val="none"/>
        </w:rPr>
        <w:t xml:space="preserve"> נוהגים להתפלל תפילת "יזכור" כל אחד לעילוי נשמת הוריו וקרוביו בארבעה פרקים בשנה: ביום הכיפורים, בשמיני עצרת</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14:ligatures w14:val="none"/>
        </w:rPr>
        <w:instrText>שמיני עצרת:</w:instrText>
      </w:r>
      <w:r w:rsidRPr="00863CCE">
        <w:rPr>
          <w:rFonts w:ascii="Keren" w:eastAsia="Times New Roman" w:hAnsi="Keren" w:cs="David"/>
          <w:sz w:val="28"/>
          <w:szCs w:val="24"/>
          <w:rtl/>
          <w:lang w:eastAsia="he-IL"/>
          <w14:ligatures w14:val="none"/>
        </w:rPr>
        <w:instrText>יזכור"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בשביעי של פסח ובחג השבועות. </w:t>
      </w:r>
      <w:r w:rsidRPr="00863CCE">
        <w:rPr>
          <w:rFonts w:ascii="Keren" w:eastAsia="Times New Roman" w:hAnsi="Keren" w:cs="David"/>
          <w:szCs w:val="20"/>
          <w:rtl/>
          <w:lang w:eastAsia="he-IL"/>
          <w14:ligatures w14:val="none"/>
        </w:rPr>
        <w:t>תפילת "יזכור" נועדה לכל יחיד ויחיד לאמרה עבור קרוביו, ותפילת "אל מלא רחמים" נתקנה לשליח הציבור. לכן ביזכור אומר נשמת אבי או אמי או קרובי (פלוני בן פלוני) בעבור שאתן או שנתתי צדקה עבור הזכרת נשמתם, ובתפילת אל מלא רחמים אומר שליח הציבור בעבור שנדב צדקה בעבור הזכרת נשמתו או נשמתה או נשמותיהם (גשר החיים פרק לא, ב, ג).</w:t>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עניינו של מנהג זה, שעל ידי מצות הצדקה (ומצוות בכלל) לזכרו של אדם שנפטר, מתקשרים מעשיהם של החיים עם מעשי הנפטר. וכיון שמצות הצדקה נעשתה מכוח זיכרון הנפטר ולכבודו, יש בכך משום לימוד זכות עליו. </w:t>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נוסח הזכרת נשמות – יזכור אלקים את נשמת (האב, האם, קרובים אחרים) פלוני בן פלוני שהלך לעולמו, בעבור שאני נודב צדקה בעדו. ומסיימים באב הרחמים. הנוסח המלא מובא לקמן עמוד @.</w:t>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 האשכנזים שכל מי שיש לו אב ואם יוצא מבית הכנסת בשעת הזכרת נשמות. נתנו לכך טעמים שונים, וביניהם – שלא יהיו חלק מהקהל מתפללים והאחרים דוממים. ויש שחששו משום עין הרע.</w:t>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בין האשכנזים נחשב מאוד עניין זה של הזכרת נשמות. ואף אנשים שלא היו באים בדרך כלל לבית הכנסת, היו באים להזכרת נשמות מתוך כבוד לנפטרים. </w:t>
      </w:r>
    </w:p>
    <w:p w:rsidR="00583B54" w:rsidRPr="00863CCE" w:rsidRDefault="00583B5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תפילה זו חוברה כנראה מיד לאחר גזרות תתנ"ו (1096). (גשר החיים שם א; אור לאבל עמוד 145). </w:t>
      </w:r>
    </w:p>
    <w:p w:rsidR="00D5072B" w:rsidRDefault="00583B54">
      <w:r w:rsidRPr="00863CCE">
        <w:rPr>
          <w:rFonts w:ascii="Keren" w:eastAsia="Times New Roman" w:hAnsi="Keren" w:cs="David"/>
          <w:szCs w:val="20"/>
          <w:rtl/>
          <w14:ligatures w14:val="none"/>
        </w:rPr>
        <w:t xml:space="preserve">ע"ע </w:t>
      </w:r>
      <w:r w:rsidRPr="00863CCE">
        <w:rPr>
          <w:rFonts w:ascii="Keren" w:eastAsia="Times New Roman" w:hAnsi="Keren" w:cs="David"/>
          <w:b/>
          <w:bCs/>
          <w:szCs w:val="20"/>
          <w:rtl/>
          <w14:ligatures w14:val="none"/>
        </w:rPr>
        <w:t>אב הרחמים. אל מלא רחמים. הזכרת נשמות. השכבה.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54"/>
    <w:rsid w:val="000D0A23"/>
    <w:rsid w:val="002C1211"/>
    <w:rsid w:val="00583B54"/>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3343D3-D710-4D46-BEA0-1386FD50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3B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3B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3B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3B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3B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3B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3B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83B5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83B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83B5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83B54"/>
    <w:rPr>
      <w:rFonts w:eastAsiaTheme="majorEastAsia" w:cstheme="majorBidi"/>
      <w:i/>
      <w:iCs/>
      <w:color w:val="0F4761" w:themeColor="accent1" w:themeShade="BF"/>
    </w:rPr>
  </w:style>
  <w:style w:type="character" w:customStyle="1" w:styleId="50">
    <w:name w:val="כותרת 5 תו"/>
    <w:basedOn w:val="a0"/>
    <w:link w:val="5"/>
    <w:uiPriority w:val="9"/>
    <w:semiHidden/>
    <w:rsid w:val="00583B54"/>
    <w:rPr>
      <w:rFonts w:eastAsiaTheme="majorEastAsia" w:cstheme="majorBidi"/>
      <w:color w:val="0F4761" w:themeColor="accent1" w:themeShade="BF"/>
    </w:rPr>
  </w:style>
  <w:style w:type="character" w:customStyle="1" w:styleId="60">
    <w:name w:val="כותרת 6 תו"/>
    <w:basedOn w:val="a0"/>
    <w:link w:val="6"/>
    <w:uiPriority w:val="9"/>
    <w:semiHidden/>
    <w:rsid w:val="00583B54"/>
    <w:rPr>
      <w:rFonts w:eastAsiaTheme="majorEastAsia" w:cstheme="majorBidi"/>
      <w:i/>
      <w:iCs/>
      <w:color w:val="595959" w:themeColor="text1" w:themeTint="A6"/>
    </w:rPr>
  </w:style>
  <w:style w:type="character" w:customStyle="1" w:styleId="70">
    <w:name w:val="כותרת 7 תו"/>
    <w:basedOn w:val="a0"/>
    <w:link w:val="7"/>
    <w:uiPriority w:val="9"/>
    <w:semiHidden/>
    <w:rsid w:val="00583B54"/>
    <w:rPr>
      <w:rFonts w:eastAsiaTheme="majorEastAsia" w:cstheme="majorBidi"/>
      <w:color w:val="595959" w:themeColor="text1" w:themeTint="A6"/>
    </w:rPr>
  </w:style>
  <w:style w:type="character" w:customStyle="1" w:styleId="80">
    <w:name w:val="כותרת 8 תו"/>
    <w:basedOn w:val="a0"/>
    <w:link w:val="8"/>
    <w:uiPriority w:val="9"/>
    <w:semiHidden/>
    <w:rsid w:val="00583B54"/>
    <w:rPr>
      <w:rFonts w:eastAsiaTheme="majorEastAsia" w:cstheme="majorBidi"/>
      <w:i/>
      <w:iCs/>
      <w:color w:val="272727" w:themeColor="text1" w:themeTint="D8"/>
    </w:rPr>
  </w:style>
  <w:style w:type="character" w:customStyle="1" w:styleId="90">
    <w:name w:val="כותרת 9 תו"/>
    <w:basedOn w:val="a0"/>
    <w:link w:val="9"/>
    <w:uiPriority w:val="9"/>
    <w:semiHidden/>
    <w:rsid w:val="00583B54"/>
    <w:rPr>
      <w:rFonts w:eastAsiaTheme="majorEastAsia" w:cstheme="majorBidi"/>
      <w:color w:val="272727" w:themeColor="text1" w:themeTint="D8"/>
    </w:rPr>
  </w:style>
  <w:style w:type="paragraph" w:styleId="a3">
    <w:name w:val="Title"/>
    <w:basedOn w:val="a"/>
    <w:next w:val="a"/>
    <w:link w:val="a4"/>
    <w:uiPriority w:val="10"/>
    <w:qFormat/>
    <w:rsid w:val="0058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83B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3B5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83B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83B54"/>
    <w:pPr>
      <w:spacing w:before="160"/>
      <w:jc w:val="center"/>
    </w:pPr>
    <w:rPr>
      <w:i/>
      <w:iCs/>
      <w:color w:val="404040" w:themeColor="text1" w:themeTint="BF"/>
    </w:rPr>
  </w:style>
  <w:style w:type="character" w:customStyle="1" w:styleId="a8">
    <w:name w:val="ציטוט תו"/>
    <w:basedOn w:val="a0"/>
    <w:link w:val="a7"/>
    <w:uiPriority w:val="29"/>
    <w:rsid w:val="00583B54"/>
    <w:rPr>
      <w:i/>
      <w:iCs/>
      <w:color w:val="404040" w:themeColor="text1" w:themeTint="BF"/>
    </w:rPr>
  </w:style>
  <w:style w:type="paragraph" w:styleId="a9">
    <w:name w:val="List Paragraph"/>
    <w:basedOn w:val="a"/>
    <w:uiPriority w:val="34"/>
    <w:qFormat/>
    <w:rsid w:val="00583B54"/>
    <w:pPr>
      <w:ind w:left="720"/>
      <w:contextualSpacing/>
    </w:pPr>
  </w:style>
  <w:style w:type="character" w:styleId="aa">
    <w:name w:val="Intense Emphasis"/>
    <w:basedOn w:val="a0"/>
    <w:uiPriority w:val="21"/>
    <w:qFormat/>
    <w:rsid w:val="00583B54"/>
    <w:rPr>
      <w:i/>
      <w:iCs/>
      <w:color w:val="0F4761" w:themeColor="accent1" w:themeShade="BF"/>
    </w:rPr>
  </w:style>
  <w:style w:type="paragraph" w:styleId="ab">
    <w:name w:val="Intense Quote"/>
    <w:basedOn w:val="a"/>
    <w:next w:val="a"/>
    <w:link w:val="ac"/>
    <w:uiPriority w:val="30"/>
    <w:qFormat/>
    <w:rsid w:val="0058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83B54"/>
    <w:rPr>
      <w:i/>
      <w:iCs/>
      <w:color w:val="0F4761" w:themeColor="accent1" w:themeShade="BF"/>
    </w:rPr>
  </w:style>
  <w:style w:type="character" w:styleId="ad">
    <w:name w:val="Intense Reference"/>
    <w:basedOn w:val="a0"/>
    <w:uiPriority w:val="32"/>
    <w:qFormat/>
    <w:rsid w:val="00583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1169</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