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88530338"/>
    <w:p w:rsidR="002A68C6" w:rsidRPr="00863CCE" w:rsidRDefault="002A68C6"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"כפרה:יסורים"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יסורים מכפרים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"יסורים מכפרים:ערך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2A68C6" w:rsidRPr="00863CCE" w:rsidRDefault="002A68C6"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Times New Roman" w:eastAsia="Times New Roman" w:hAnsi="Times New Roman" w:cs="David"/>
          <w:sz w:val="18"/>
          <w:szCs w:val="20"/>
          <w:rtl/>
          <w:lang w:eastAsia="he-IL"/>
          <w14:ligatures w14:val="none"/>
        </w:rPr>
        <w:t>אמר רבי שמעון בן לקיש: נאמר ברית במלח ונאמר ברית ביסורין; נאמר ברית במלח, דכתיב (ויקרא ב, יג) "</w:t>
      </w:r>
      <w:r w:rsidRPr="00863CCE">
        <w:rPr>
          <w:rFonts w:ascii="Times New Roman" w:eastAsia="Times New Roman" w:hAnsi="Times New Roman" w:cs="David"/>
          <w:sz w:val="20"/>
          <w:szCs w:val="20"/>
          <w:rtl/>
          <w14:ligatures w14:val="none"/>
        </w:rPr>
        <w:t>וְלֹא תַשְׁבִּית מֶלַח בְּרִית"</w:t>
      </w:r>
      <w:r w:rsidRPr="00863CCE">
        <w:rPr>
          <w:rFonts w:ascii="Times New Roman" w:eastAsia="Times New Roman" w:hAnsi="Times New Roman" w:cs="David"/>
          <w:sz w:val="18"/>
          <w:szCs w:val="20"/>
          <w:rtl/>
          <w:lang w:eastAsia="he-IL"/>
          <w14:ligatures w14:val="none"/>
        </w:rPr>
        <w:t>, ונאמר ברית ביסורין, דכתיב (דברים כח, סט) "</w:t>
      </w:r>
      <w:r w:rsidRPr="00863CCE">
        <w:rPr>
          <w:rFonts w:ascii="Times New Roman" w:eastAsia="Times New Roman" w:hAnsi="Times New Roman" w:cs="David"/>
          <w:sz w:val="20"/>
          <w:szCs w:val="20"/>
          <w:rtl/>
          <w14:ligatures w14:val="none"/>
        </w:rPr>
        <w:t>אֵלֶּה דִבְרֵי הַבְּרִית"</w:t>
      </w:r>
      <w:r w:rsidRPr="00863CCE">
        <w:rPr>
          <w:rFonts w:ascii="Times New Roman" w:eastAsia="Times New Roman" w:hAnsi="Times New Roman" w:cs="David"/>
          <w:sz w:val="18"/>
          <w:szCs w:val="20"/>
          <w:rtl/>
          <w:lang w:eastAsia="he-IL"/>
          <w14:ligatures w14:val="none"/>
        </w:rPr>
        <w:t xml:space="preserve">. מה ברית האמור במלח - מלח ממתקת את הבשר, אף ברית האמור ביסורין - יסורין ממרקין כל עונותיו של אדם (ברכות ה, א). </w:t>
      </w:r>
    </w:p>
    <w:p w:rsidR="002A68C6" w:rsidRPr="00863CCE" w:rsidRDefault="002A68C6"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מבחינה מעשית, המלח שואב את הדם מתוך הבשר, וכששוטפים את המלח גם הדם נשטף. כך גם היסורים שואבים תכונות שליליות מהאדם, ובהסתלק היסורים מהאדם, הוא יכול להישאר נקי מתכונות שליליות שדבקו בו. וכבר אמר שלמה המלך: "</w:t>
      </w:r>
      <w:r w:rsidRPr="00863CCE">
        <w:rPr>
          <w:rFonts w:ascii="Times New Roman" w:eastAsia="Times New Roman" w:hAnsi="Times New Roman" w:cs="David"/>
          <w:sz w:val="20"/>
          <w:szCs w:val="20"/>
          <w:rtl/>
          <w:lang w:eastAsia="he-IL"/>
          <w14:ligatures w14:val="none"/>
        </w:rPr>
        <w:t>אִוֶּלֶת קְשׁוּרָה בְלֶב נָעַר שֵׁבֶט מוּסָר יַרְחִיקֶנָּה מִמֶּנּוּ" (משלי כב, טו). לכן אל לו לאדם לבעט ביסוריו, וגם לא להחמיצם. אלא יתפלל שלא יבואו עליו יסורים, ואם בכל זאת באים יראה כיצד יעזר בהם (ראה למשל "בסוד היחיד והיחד" של הרב יוסף דוב סולוביצ'יק, במאמר קול דודי דופק, במיוחד מעמוד 339 ואילך).</w:t>
      </w:r>
    </w:p>
    <w:p w:rsidR="002A68C6" w:rsidRPr="00863CCE" w:rsidRDefault="002A68C6"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 w:val="26"/>
          <w:szCs w:val="20"/>
          <w:rtl/>
          <w:lang w:eastAsia="he-IL"/>
          <w14:ligatures w14:val="none"/>
        </w:rPr>
        <w:t>אמר רבי יהודה: חסידים הראשונים היו מתיסרים לפני מיתתן בחולי מעים כעשרה כעשרים יום כדי למרק את הכל, כדי שיבואו זכאים לעתיד לבוא. שנאמר "</w:t>
      </w:r>
      <w:r w:rsidRPr="00863CCE">
        <w:rPr>
          <w:rFonts w:ascii="Keren" w:eastAsia="Times New Roman" w:hAnsi="Keren" w:cs="David"/>
          <w:sz w:val="20"/>
          <w:szCs w:val="20"/>
          <w:rtl/>
          <w:lang w:eastAsia="he-IL"/>
          <w14:ligatures w14:val="none"/>
        </w:rPr>
        <w:t>מַצְרֵף לַכֶּסֶף וְכוּר לַזָּהָב וְאִישׁ לְפִי מַהֲלָלוֹ</w:t>
      </w:r>
      <w:r w:rsidRPr="00863CCE">
        <w:rPr>
          <w:rFonts w:ascii="Keren" w:eastAsia="Times New Roman" w:hAnsi="Keren" w:cs="David"/>
          <w:sz w:val="26"/>
          <w:szCs w:val="20"/>
          <w:rtl/>
          <w:lang w:eastAsia="he-IL"/>
          <w14:ligatures w14:val="none"/>
        </w:rPr>
        <w:t xml:space="preserve">" (משלי כז, כא), (מסכת שמחות פרק ג, י). כשם שהכלי הנקרא מצרף מזקק הכסף, והכלי הנקרא כור מזקק את הזהב מכל סיג ופסולת שבתוכו; כן הצדיקים ממרקן הקב"ה בעולם הזה כדי שיבואו נקיים וזכאים לעולם הבא (פירוש נחלת יעקב שם). </w:t>
      </w:r>
    </w:p>
    <w:p w:rsidR="002A68C6" w:rsidRPr="00863CCE" w:rsidRDefault="002A68C6"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יש המצווים לאנשי החברה קדישא לקיים בהם אחרי הפטירה כעין ארבע מיתות בית דין, ויש לקיים צוואתם. דהיינו שיגביהו את הנפטר בחדר הטהרה שלושה טפחים ויעזבוהו בנחת כדי שיפול לארץ, והרי זה כעין סקילה. וכן מטפטפים שעווה לתוך פיו כעין שריפה, וכן כיוצא בזה (ילקוט יוסף סימן ט, טז) וראה בצוואת רבי אלכסנדר זיסקינד שהודפסה בסוף ספרו "יסוד ושורש העבודה", שציוה על אנשי חברה קדישא שיקיימו בו לאחר פטירתו דין ארבע מיתות לכפר על עוונותיו. </w:t>
      </w:r>
    </w:p>
    <w:p w:rsidR="00D5072B" w:rsidRDefault="002A68C6">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חיבוט הקבר.</w:t>
      </w:r>
      <w:r w:rsidRPr="00863CCE">
        <w:rPr>
          <w:rFonts w:ascii="Keren" w:eastAsia="Times New Roman" w:hAnsi="Keren" w:cs="David"/>
          <w:b/>
          <w:bCs/>
          <w:sz w:val="20"/>
          <w:szCs w:val="20"/>
          <w:rtl/>
          <w:lang w:eastAsia="he-IL"/>
          <w14:ligatures w14:val="none"/>
        </w:rPr>
        <w:t xml:space="preserve"> </w:t>
      </w:r>
      <w:r w:rsidRPr="00863CCE">
        <w:rPr>
          <w:rFonts w:ascii="Keren" w:eastAsia="Times New Roman" w:hAnsi="Keren" w:cs="David"/>
          <w:b/>
          <w:bCs/>
          <w:sz w:val="18"/>
          <w:szCs w:val="20"/>
          <w:rtl/>
          <w:lang w:eastAsia="he-IL"/>
          <w14:ligatures w14:val="none"/>
        </w:rPr>
        <w:t>חייב אדם לברך על הרעה כשם שמברך על הטובה – ולקבלנה בשמחה. כליבה. צידוק הדין.</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8C6"/>
    <w:rsid w:val="000D0A23"/>
    <w:rsid w:val="002A68C6"/>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CCC09F-2141-4A0D-A857-EC28FF270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A6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A6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A68C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A68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A68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68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68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68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68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A68C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A68C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A68C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A68C6"/>
    <w:rPr>
      <w:rFonts w:eastAsiaTheme="majorEastAsia" w:cstheme="majorBidi"/>
      <w:i/>
      <w:iCs/>
      <w:color w:val="0F4761" w:themeColor="accent1" w:themeShade="BF"/>
    </w:rPr>
  </w:style>
  <w:style w:type="character" w:customStyle="1" w:styleId="50">
    <w:name w:val="כותרת 5 תו"/>
    <w:basedOn w:val="a0"/>
    <w:link w:val="5"/>
    <w:uiPriority w:val="9"/>
    <w:semiHidden/>
    <w:rsid w:val="002A68C6"/>
    <w:rPr>
      <w:rFonts w:eastAsiaTheme="majorEastAsia" w:cstheme="majorBidi"/>
      <w:color w:val="0F4761" w:themeColor="accent1" w:themeShade="BF"/>
    </w:rPr>
  </w:style>
  <w:style w:type="character" w:customStyle="1" w:styleId="60">
    <w:name w:val="כותרת 6 תו"/>
    <w:basedOn w:val="a0"/>
    <w:link w:val="6"/>
    <w:uiPriority w:val="9"/>
    <w:semiHidden/>
    <w:rsid w:val="002A68C6"/>
    <w:rPr>
      <w:rFonts w:eastAsiaTheme="majorEastAsia" w:cstheme="majorBidi"/>
      <w:i/>
      <w:iCs/>
      <w:color w:val="595959" w:themeColor="text1" w:themeTint="A6"/>
    </w:rPr>
  </w:style>
  <w:style w:type="character" w:customStyle="1" w:styleId="70">
    <w:name w:val="כותרת 7 תו"/>
    <w:basedOn w:val="a0"/>
    <w:link w:val="7"/>
    <w:uiPriority w:val="9"/>
    <w:semiHidden/>
    <w:rsid w:val="002A68C6"/>
    <w:rPr>
      <w:rFonts w:eastAsiaTheme="majorEastAsia" w:cstheme="majorBidi"/>
      <w:color w:val="595959" w:themeColor="text1" w:themeTint="A6"/>
    </w:rPr>
  </w:style>
  <w:style w:type="character" w:customStyle="1" w:styleId="80">
    <w:name w:val="כותרת 8 תו"/>
    <w:basedOn w:val="a0"/>
    <w:link w:val="8"/>
    <w:uiPriority w:val="9"/>
    <w:semiHidden/>
    <w:rsid w:val="002A68C6"/>
    <w:rPr>
      <w:rFonts w:eastAsiaTheme="majorEastAsia" w:cstheme="majorBidi"/>
      <w:i/>
      <w:iCs/>
      <w:color w:val="272727" w:themeColor="text1" w:themeTint="D8"/>
    </w:rPr>
  </w:style>
  <w:style w:type="character" w:customStyle="1" w:styleId="90">
    <w:name w:val="כותרת 9 תו"/>
    <w:basedOn w:val="a0"/>
    <w:link w:val="9"/>
    <w:uiPriority w:val="9"/>
    <w:semiHidden/>
    <w:rsid w:val="002A68C6"/>
    <w:rPr>
      <w:rFonts w:eastAsiaTheme="majorEastAsia" w:cstheme="majorBidi"/>
      <w:color w:val="272727" w:themeColor="text1" w:themeTint="D8"/>
    </w:rPr>
  </w:style>
  <w:style w:type="paragraph" w:styleId="a3">
    <w:name w:val="Title"/>
    <w:basedOn w:val="a"/>
    <w:next w:val="a"/>
    <w:link w:val="a4"/>
    <w:uiPriority w:val="10"/>
    <w:qFormat/>
    <w:rsid w:val="002A6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A68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8C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A68C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A68C6"/>
    <w:pPr>
      <w:spacing w:before="160"/>
      <w:jc w:val="center"/>
    </w:pPr>
    <w:rPr>
      <w:i/>
      <w:iCs/>
      <w:color w:val="404040" w:themeColor="text1" w:themeTint="BF"/>
    </w:rPr>
  </w:style>
  <w:style w:type="character" w:customStyle="1" w:styleId="a8">
    <w:name w:val="ציטוט תו"/>
    <w:basedOn w:val="a0"/>
    <w:link w:val="a7"/>
    <w:uiPriority w:val="29"/>
    <w:rsid w:val="002A68C6"/>
    <w:rPr>
      <w:i/>
      <w:iCs/>
      <w:color w:val="404040" w:themeColor="text1" w:themeTint="BF"/>
    </w:rPr>
  </w:style>
  <w:style w:type="paragraph" w:styleId="a9">
    <w:name w:val="List Paragraph"/>
    <w:basedOn w:val="a"/>
    <w:uiPriority w:val="34"/>
    <w:qFormat/>
    <w:rsid w:val="002A68C6"/>
    <w:pPr>
      <w:ind w:left="720"/>
      <w:contextualSpacing/>
    </w:pPr>
  </w:style>
  <w:style w:type="character" w:styleId="aa">
    <w:name w:val="Intense Emphasis"/>
    <w:basedOn w:val="a0"/>
    <w:uiPriority w:val="21"/>
    <w:qFormat/>
    <w:rsid w:val="002A68C6"/>
    <w:rPr>
      <w:i/>
      <w:iCs/>
      <w:color w:val="0F4761" w:themeColor="accent1" w:themeShade="BF"/>
    </w:rPr>
  </w:style>
  <w:style w:type="paragraph" w:styleId="ab">
    <w:name w:val="Intense Quote"/>
    <w:basedOn w:val="a"/>
    <w:next w:val="a"/>
    <w:link w:val="ac"/>
    <w:uiPriority w:val="30"/>
    <w:qFormat/>
    <w:rsid w:val="002A6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A68C6"/>
    <w:rPr>
      <w:i/>
      <w:iCs/>
      <w:color w:val="0F4761" w:themeColor="accent1" w:themeShade="BF"/>
    </w:rPr>
  </w:style>
  <w:style w:type="character" w:styleId="ad">
    <w:name w:val="Intense Reference"/>
    <w:basedOn w:val="a0"/>
    <w:uiPriority w:val="32"/>
    <w:qFormat/>
    <w:rsid w:val="002A68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1510</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