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7241" w:rsidRPr="00863CCE" w:rsidRDefault="00F5724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43"/>
      <w:r w:rsidRPr="00863CCE">
        <w:rPr>
          <w:rFonts w:ascii="Keren" w:eastAsia="Times New Roman" w:hAnsi="Keren" w:cs="David"/>
          <w:b/>
          <w:bCs/>
          <w:sz w:val="26"/>
          <w:szCs w:val="24"/>
          <w:rtl/>
          <w:lang w:eastAsia="he-IL"/>
          <w14:ligatures w14:val="none"/>
        </w:rPr>
        <w:t>כליבה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"כליבה:ערך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F57241" w:rsidRPr="00863CCE" w:rsidRDefault="00F5724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סוג של מטה ארעית למת. (יש גורסים כליכה). הַכְלָבָה היא חיבור או תפירה לא מדויקים אלא ארעיים. </w:t>
      </w:r>
    </w:p>
    <w:p w:rsidR="00F57241" w:rsidRPr="00863CCE" w:rsidRDefault="00F57241"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תנו רבנן... בראשונה היו מוציאין עשירים בדרגש ועניים בכליבה והיו העניים מתביישים. התקינו שיהו הכל מוציאין בכליבה מפני כבודן של עניים (מועד קטן כז, א).</w:t>
      </w:r>
    </w:p>
    <w:p w:rsidR="00F57241" w:rsidRPr="00863CCE" w:rsidRDefault="00F57241"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מעשה בבנו של רבי חנינא בן תרדיון שיצא לתרבות רעה ותפסוהו ליסטין והרגוהו. נמצא תפוח לאחר שלושה ימים, נתנוהו בכליבה (על פי גירסת הגר"א) והניחוהו על גבי המיטה... (מסכת שמחות סוף פרק יב).</w:t>
      </w:r>
    </w:p>
    <w:p w:rsidR="00F57241" w:rsidRPr="00863CCE" w:rsidRDefault="00F57241"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צפת וטבריה:מטת המת"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מטת המת הנהוגה בירושלים עשויה משני מוטות ושמונה עשרה אונקלאות (חוליות), מקובלת בירושלים ובצפת משנות דור (גשר החיים חלק ב פרק ז, א).</w:t>
      </w:r>
    </w:p>
    <w:p w:rsidR="00F57241" w:rsidRPr="00863CCE" w:rsidRDefault="00F57241"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בעיר הקודש ירושלים אין נושאים את המת בארון כלל, אלא על שני מוטות, מיוחדים לכל המתים... כי כן נוהגים בעיר הקודש צפת על פי האר"י ז"ל לשאת את המת בשני מוטות מחוברות בכבלי ברזל, ויש סמך לזה מפסחים (נו, א) משום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נשיאת המת בכליבה"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והודו לו חכמים..</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"צדקה:מכפרת על המת"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לכן מועילה צדקה לאחר מיתה (הקונטרס היחיאלי, בית עולמים פרק ז).</w:t>
      </w:r>
    </w:p>
    <w:p w:rsidR="00F57241" w:rsidRPr="00863CCE" w:rsidRDefault="00F57241"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"כפרה:צדקה"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אצלנו נהגו בכליבות של ברזל למיטה לכפרה, או במקום חיבוט הקבר שנעשה לכל אדם בחוץ לארץ להפרדת הקליפות ממנו, ובכליבות הברזל האלו על ידי דחיקת גוף האדם בהם אז מועילים לו לכפרה (שם).</w:t>
      </w:r>
    </w:p>
    <w:p w:rsidR="00F57241" w:rsidRPr="00863CCE" w:rsidRDefault="00F5724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המקור מופיע עוד בדברי התנאים (דלעיל, וגם במשנה מסכת פרה יב, ט), המשך המנהג וטעמו על פי הקבלה רומז לכפרה שיש לנפטר על ידי שנושאים אותו בכליבה פשוטה כזו. ההשוואה לחזקיהו מלך יהודה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"אישים:חזקיהו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שגרר עצמות אביו על מיטה של חבלים כדי שתהיה לו כפרה, מלמדת בבירור על מגמה זו של כפרה. לפי זה השימוש בכליבה הוא פעולה סמלית של כעין יסורים שתכליתם לכפר על הנפטר. שמונה עשרה חוליות שיש בכליבה מקבילות לשמונה עשרה חוליות שיש לאדם בשדרה. </w:t>
      </w:r>
    </w:p>
    <w:p w:rsidR="00D5072B" w:rsidRDefault="00F57241">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ארון המת. חיבוט הקבר. יסורים מכפרים.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41"/>
    <w:rsid w:val="000D0A23"/>
    <w:rsid w:val="002C1211"/>
    <w:rsid w:val="005C4B14"/>
    <w:rsid w:val="00AA7185"/>
    <w:rsid w:val="00B22A00"/>
    <w:rsid w:val="00D5072B"/>
    <w:rsid w:val="00F572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D7FECF-8BDF-4A7A-9F3D-391C035CE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7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57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572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572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572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572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72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72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72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5724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5724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5724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57241"/>
    <w:rPr>
      <w:rFonts w:eastAsiaTheme="majorEastAsia" w:cstheme="majorBidi"/>
      <w:i/>
      <w:iCs/>
      <w:color w:val="0F4761" w:themeColor="accent1" w:themeShade="BF"/>
    </w:rPr>
  </w:style>
  <w:style w:type="character" w:customStyle="1" w:styleId="50">
    <w:name w:val="כותרת 5 תו"/>
    <w:basedOn w:val="a0"/>
    <w:link w:val="5"/>
    <w:uiPriority w:val="9"/>
    <w:semiHidden/>
    <w:rsid w:val="00F57241"/>
    <w:rPr>
      <w:rFonts w:eastAsiaTheme="majorEastAsia" w:cstheme="majorBidi"/>
      <w:color w:val="0F4761" w:themeColor="accent1" w:themeShade="BF"/>
    </w:rPr>
  </w:style>
  <w:style w:type="character" w:customStyle="1" w:styleId="60">
    <w:name w:val="כותרת 6 תו"/>
    <w:basedOn w:val="a0"/>
    <w:link w:val="6"/>
    <w:uiPriority w:val="9"/>
    <w:semiHidden/>
    <w:rsid w:val="00F57241"/>
    <w:rPr>
      <w:rFonts w:eastAsiaTheme="majorEastAsia" w:cstheme="majorBidi"/>
      <w:i/>
      <w:iCs/>
      <w:color w:val="595959" w:themeColor="text1" w:themeTint="A6"/>
    </w:rPr>
  </w:style>
  <w:style w:type="character" w:customStyle="1" w:styleId="70">
    <w:name w:val="כותרת 7 תו"/>
    <w:basedOn w:val="a0"/>
    <w:link w:val="7"/>
    <w:uiPriority w:val="9"/>
    <w:semiHidden/>
    <w:rsid w:val="00F57241"/>
    <w:rPr>
      <w:rFonts w:eastAsiaTheme="majorEastAsia" w:cstheme="majorBidi"/>
      <w:color w:val="595959" w:themeColor="text1" w:themeTint="A6"/>
    </w:rPr>
  </w:style>
  <w:style w:type="character" w:customStyle="1" w:styleId="80">
    <w:name w:val="כותרת 8 תו"/>
    <w:basedOn w:val="a0"/>
    <w:link w:val="8"/>
    <w:uiPriority w:val="9"/>
    <w:semiHidden/>
    <w:rsid w:val="00F57241"/>
    <w:rPr>
      <w:rFonts w:eastAsiaTheme="majorEastAsia" w:cstheme="majorBidi"/>
      <w:i/>
      <w:iCs/>
      <w:color w:val="272727" w:themeColor="text1" w:themeTint="D8"/>
    </w:rPr>
  </w:style>
  <w:style w:type="character" w:customStyle="1" w:styleId="90">
    <w:name w:val="כותרת 9 תו"/>
    <w:basedOn w:val="a0"/>
    <w:link w:val="9"/>
    <w:uiPriority w:val="9"/>
    <w:semiHidden/>
    <w:rsid w:val="00F57241"/>
    <w:rPr>
      <w:rFonts w:eastAsiaTheme="majorEastAsia" w:cstheme="majorBidi"/>
      <w:color w:val="272727" w:themeColor="text1" w:themeTint="D8"/>
    </w:rPr>
  </w:style>
  <w:style w:type="paragraph" w:styleId="a3">
    <w:name w:val="Title"/>
    <w:basedOn w:val="a"/>
    <w:next w:val="a"/>
    <w:link w:val="a4"/>
    <w:uiPriority w:val="10"/>
    <w:qFormat/>
    <w:rsid w:val="00F5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572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724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5724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57241"/>
    <w:pPr>
      <w:spacing w:before="160"/>
      <w:jc w:val="center"/>
    </w:pPr>
    <w:rPr>
      <w:i/>
      <w:iCs/>
      <w:color w:val="404040" w:themeColor="text1" w:themeTint="BF"/>
    </w:rPr>
  </w:style>
  <w:style w:type="character" w:customStyle="1" w:styleId="a8">
    <w:name w:val="ציטוט תו"/>
    <w:basedOn w:val="a0"/>
    <w:link w:val="a7"/>
    <w:uiPriority w:val="29"/>
    <w:rsid w:val="00F57241"/>
    <w:rPr>
      <w:i/>
      <w:iCs/>
      <w:color w:val="404040" w:themeColor="text1" w:themeTint="BF"/>
    </w:rPr>
  </w:style>
  <w:style w:type="paragraph" w:styleId="a9">
    <w:name w:val="List Paragraph"/>
    <w:basedOn w:val="a"/>
    <w:uiPriority w:val="34"/>
    <w:qFormat/>
    <w:rsid w:val="00F57241"/>
    <w:pPr>
      <w:ind w:left="720"/>
      <w:contextualSpacing/>
    </w:pPr>
  </w:style>
  <w:style w:type="character" w:styleId="aa">
    <w:name w:val="Intense Emphasis"/>
    <w:basedOn w:val="a0"/>
    <w:uiPriority w:val="21"/>
    <w:qFormat/>
    <w:rsid w:val="00F57241"/>
    <w:rPr>
      <w:i/>
      <w:iCs/>
      <w:color w:val="0F4761" w:themeColor="accent1" w:themeShade="BF"/>
    </w:rPr>
  </w:style>
  <w:style w:type="paragraph" w:styleId="ab">
    <w:name w:val="Intense Quote"/>
    <w:basedOn w:val="a"/>
    <w:next w:val="a"/>
    <w:link w:val="ac"/>
    <w:uiPriority w:val="30"/>
    <w:qFormat/>
    <w:rsid w:val="00F57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57241"/>
    <w:rPr>
      <w:i/>
      <w:iCs/>
      <w:color w:val="0F4761" w:themeColor="accent1" w:themeShade="BF"/>
    </w:rPr>
  </w:style>
  <w:style w:type="character" w:styleId="ad">
    <w:name w:val="Intense Reference"/>
    <w:basedOn w:val="a0"/>
    <w:uiPriority w:val="32"/>
    <w:qFormat/>
    <w:rsid w:val="00F572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276</Words>
  <Characters>1382</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