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6178C" w:rsidRPr="00863CCE" w:rsidRDefault="00C6178C"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345"/>
      <w:r w:rsidRPr="00863CCE">
        <w:rPr>
          <w:rFonts w:ascii="Keren" w:eastAsia="Times New Roman" w:hAnsi="Keren" w:cs="David"/>
          <w:b/>
          <w:bCs/>
          <w:sz w:val="26"/>
          <w:szCs w:val="24"/>
          <w:rtl/>
          <w:lang w:eastAsia="he-IL"/>
          <w14:ligatures w14:val="none"/>
        </w:rPr>
        <w:t>כרת</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"כרת:ערך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C6178C" w:rsidRPr="00863CCE" w:rsidRDefault="00C6178C" w:rsidP="00863CCE">
      <w:pPr>
        <w:autoSpaceDE w:val="0"/>
        <w:autoSpaceDN w:val="0"/>
        <w:adjustRightInd w:val="0"/>
        <w:spacing w:after="0" w:line="360" w:lineRule="auto"/>
        <w:jc w:val="both"/>
        <w:rPr>
          <w:rFonts w:ascii="Times New Roman" w:eastAsia="Times New Roman" w:hAnsi="Times New Roman" w:cs="David"/>
          <w:sz w:val="20"/>
          <w:szCs w:val="20"/>
          <w:rtl/>
          <w14:ligatures w14:val="none"/>
        </w:rPr>
      </w:pPr>
      <w:r w:rsidRPr="00863CCE">
        <w:rPr>
          <w:rFonts w:ascii="Keren" w:eastAsia="Times New Roman" w:hAnsi="Keren" w:cs="David"/>
          <w:szCs w:val="20"/>
          <w:rtl/>
          <w:lang w:eastAsia="he-IL"/>
          <w14:ligatures w14:val="none"/>
        </w:rPr>
        <w:t>עונש בידי שמים המוזכר בתורה פעמים רבות "</w:t>
      </w:r>
      <w:r w:rsidRPr="00863CCE">
        <w:rPr>
          <w:rFonts w:ascii="Times New Roman" w:eastAsia="Times New Roman" w:hAnsi="Times New Roman" w:cs="David"/>
          <w:sz w:val="20"/>
          <w:szCs w:val="20"/>
          <w:rtl/>
          <w14:ligatures w14:val="none"/>
        </w:rPr>
        <w:t>וְנִכְרְתָה הַנֶּפֶשׁ הַהִוא</w:t>
      </w:r>
      <w:r w:rsidRPr="00863CCE">
        <w:rPr>
          <w:rFonts w:ascii="Keren" w:eastAsia="Times New Roman" w:hAnsi="Keren" w:cs="David"/>
          <w:szCs w:val="20"/>
          <w:rtl/>
          <w:lang w:eastAsia="he-IL"/>
          <w14:ligatures w14:val="none"/>
        </w:rPr>
        <w:t xml:space="preserve">". המשנה מונה שלושים ושש עברות שחייבים עליהן כרת (מסכת כריתות א, א). </w:t>
      </w:r>
    </w:p>
    <w:p w:rsidR="00C6178C" w:rsidRPr="00863CCE" w:rsidRDefault="00C6178C"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מהו עונש כרת? רש"י פירש (שבת כה, ב) שימיו נכרתים – מת לפני זמנו, ערירי בלא צאצאים. בגמרא (מועד קטן כח, א) מובאת ברייתא "מת בחמישים שנה זו היא מיתת כרת". ורבה אמר: "מחמישים שנה ועד שישים שנה זו היא מיתת כרת". </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"אישים:רב יוסף"</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רב יוסף כשנעשה בן שישים שנה עשה יום טוב לחכמים, אמר: יצאתי מידי כרת.</w:t>
      </w:r>
    </w:p>
    <w:p w:rsidR="00C6178C" w:rsidRPr="00863CCE" w:rsidRDefault="00C6178C"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אבן עזרא בפירושו לתורה (בראשית יז, יד) מביא דעה כי כרת היינו שיכרת שמו במות זרעו. כי מי שיש לו בנים כאילו הוא חי ושמו לא נכרת. וכן מובא בגמרא (יבמות נה, א) יש לו בנים – קוברם, אין לו בנים – הולך ערירי.</w:t>
      </w:r>
    </w:p>
    <w:p w:rsidR="00C6178C" w:rsidRPr="00863CCE" w:rsidRDefault="00C6178C" w:rsidP="00863CCE">
      <w:pPr>
        <w:autoSpaceDE w:val="0"/>
        <w:autoSpaceDN w:val="0"/>
        <w:adjustRightInd w:val="0"/>
        <w:spacing w:after="0" w:line="360" w:lineRule="auto"/>
        <w:jc w:val="both"/>
        <w:rPr>
          <w:rFonts w:ascii="Times New Roman" w:eastAsia="Times New Roman" w:hAnsi="Times New Roman" w:cs="David"/>
          <w:sz w:val="20"/>
          <w:szCs w:val="20"/>
          <w:rtl/>
          <w14:ligatures w14:val="none"/>
        </w:rPr>
      </w:pPr>
      <w:r w:rsidRPr="00863CCE">
        <w:rPr>
          <w:rFonts w:ascii="Keren" w:eastAsia="Times New Roman" w:hAnsi="Keren" w:cs="David"/>
          <w:szCs w:val="20"/>
          <w:rtl/>
          <w:lang w:eastAsia="he-IL"/>
          <w14:ligatures w14:val="none"/>
        </w:rPr>
        <w:t>הרמב"ם כותב (הלכות תשובה ח, ה) כי בעונש כרת תיכרת הנפש ותאבד ולא תזכה לחיי העולם הבא. הרמב"ן (בפירושו לספר ויקרא יח, כט) משיג על הרמב"ם ומבדיל בין שלושה מיני כרת: האחד, שנאמר בו "</w:t>
      </w:r>
      <w:r w:rsidRPr="00863CCE">
        <w:rPr>
          <w:rFonts w:ascii="Times New Roman" w:eastAsia="Times New Roman" w:hAnsi="Times New Roman" w:cs="David"/>
          <w:sz w:val="20"/>
          <w:szCs w:val="20"/>
          <w:rtl/>
          <w14:ligatures w14:val="none"/>
        </w:rPr>
        <w:t>וְנִכְרַת הָאִישׁ</w:t>
      </w:r>
      <w:r w:rsidRPr="00863CCE">
        <w:rPr>
          <w:rFonts w:ascii="Keren" w:eastAsia="Times New Roman" w:hAnsi="Keren" w:cs="David"/>
          <w:szCs w:val="20"/>
          <w:rtl/>
          <w:lang w:eastAsia="he-IL"/>
          <w14:ligatures w14:val="none"/>
        </w:rPr>
        <w:t>" שאם הוא צדיק ורובו זכויות, אבל גברה עליו תאוותו ונכשל בעבירה של כרת, יכרתו ימיו וימות בנעורים קודם שיגיע לימי הזקנה, והם שישים שנה; אבל יהיה לו חלק לעולם הבא והוא העולם שאחרי התחיה. השני, שנאמר בו "</w:t>
      </w:r>
      <w:r w:rsidRPr="00863CCE">
        <w:rPr>
          <w:rFonts w:ascii="Times New Roman" w:eastAsia="Times New Roman" w:hAnsi="Times New Roman" w:cs="David"/>
          <w:sz w:val="20"/>
          <w:szCs w:val="20"/>
          <w:rtl/>
          <w14:ligatures w14:val="none"/>
        </w:rPr>
        <w:t>וְנִכְרְתָה הַנֶּפֶשׁ</w:t>
      </w:r>
      <w:r w:rsidRPr="00863CCE">
        <w:rPr>
          <w:rFonts w:ascii="Keren" w:eastAsia="Times New Roman" w:hAnsi="Keren" w:cs="David"/>
          <w:szCs w:val="20"/>
          <w:rtl/>
          <w:lang w:eastAsia="he-IL"/>
          <w14:ligatures w14:val="none"/>
        </w:rPr>
        <w:t>", שאם מלבד החטא של כרת עוונותיו מרובים מזכויותיו, עונש הכרת מגיע לנפש החוטאת לאחר שתפרד מן הגוף, והיא נכרתת מעולם הנשמות; וזה אין לו כרת בגופו, אלא פעמים יחיה ויגיע לימים רבים. אבל נשמתו נכרתת מחיי גן עדן. והשלישי, שנאמר בעובד עבודה זרה ומגדף "</w:t>
      </w:r>
      <w:r w:rsidRPr="00863CCE">
        <w:rPr>
          <w:rFonts w:ascii="Times New Roman" w:eastAsia="Times New Roman" w:hAnsi="Times New Roman" w:cs="David"/>
          <w:sz w:val="20"/>
          <w:szCs w:val="20"/>
          <w:rtl/>
          <w14:ligatures w14:val="none"/>
        </w:rPr>
        <w:t>הִכָּרֵת תִּכָּרֵת הַנֶּפֶשׁ הַהִוא</w:t>
      </w:r>
      <w:r w:rsidRPr="00863CCE">
        <w:rPr>
          <w:rFonts w:ascii="Keren" w:eastAsia="Times New Roman" w:hAnsi="Keren" w:cs="David"/>
          <w:szCs w:val="20"/>
          <w:rtl/>
          <w:lang w:eastAsia="he-IL"/>
          <w14:ligatures w14:val="none"/>
        </w:rPr>
        <w:t>", ודרשו: "</w:t>
      </w:r>
      <w:r w:rsidRPr="00863CCE">
        <w:rPr>
          <w:rFonts w:ascii="Times New Roman" w:eastAsia="Times New Roman" w:hAnsi="Times New Roman" w:cs="David"/>
          <w:sz w:val="20"/>
          <w:szCs w:val="20"/>
          <w:rtl/>
          <w14:ligatures w14:val="none"/>
        </w:rPr>
        <w:t>הִכָּרֵת</w:t>
      </w:r>
      <w:r w:rsidRPr="00863CCE">
        <w:rPr>
          <w:rFonts w:ascii="Keren" w:eastAsia="Times New Roman" w:hAnsi="Keren" w:cs="David"/>
          <w:szCs w:val="20"/>
          <w:rtl/>
          <w:lang w:eastAsia="he-IL"/>
          <w14:ligatures w14:val="none"/>
        </w:rPr>
        <w:t>" – בעולם הזה, "</w:t>
      </w:r>
      <w:r w:rsidRPr="00863CCE">
        <w:rPr>
          <w:rFonts w:ascii="Times New Roman" w:eastAsia="Times New Roman" w:hAnsi="Times New Roman" w:cs="David"/>
          <w:sz w:val="20"/>
          <w:szCs w:val="20"/>
          <w:rtl/>
          <w14:ligatures w14:val="none"/>
        </w:rPr>
        <w:t>תִּכָּרֵת</w:t>
      </w:r>
      <w:r w:rsidRPr="00863CCE">
        <w:rPr>
          <w:rFonts w:ascii="Keren" w:eastAsia="Times New Roman" w:hAnsi="Keren" w:cs="David"/>
          <w:szCs w:val="20"/>
          <w:rtl/>
          <w:lang w:eastAsia="he-IL"/>
          <w14:ligatures w14:val="none"/>
        </w:rPr>
        <w:t xml:space="preserve">" – לעולם הבא, לומר שגופו נכרת מחיי העולם הזה, ונפשו נכרתת מחיי גן עדן ומהעולם הבא, שמת בדמי ימיו ואין לו חלק לעולם הבא. (דברי הרמב"ם מצוטטים לעיל בעמוד @. הרמב"ן מביא הערה נוספת על דברי הרמב"ם בספרו תורת האדם, שער הגמול. דבריו מובאים גם בהגהות מימוניות על הרמב"ם בהלכות תשובה, עיין שם. ע"ע בספר מעבר יַבֹּק מאמר שפתי רננות פרק כה) </w:t>
      </w:r>
    </w:p>
    <w:p w:rsidR="00D5072B" w:rsidRDefault="00C6178C">
      <w:r w:rsidRPr="00863CCE">
        <w:rPr>
          <w:rFonts w:ascii="Keren" w:eastAsia="Times New Roman" w:hAnsi="Keren" w:cs="David"/>
          <w:szCs w:val="20"/>
          <w:rtl/>
          <w:lang w:eastAsia="he-IL"/>
          <w14:ligatures w14:val="none"/>
        </w:rPr>
        <w:t>(</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כרת:תיקון כרת</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b/>
          <w:bCs/>
          <w:szCs w:val="20"/>
          <w:rtl/>
          <w:lang w:eastAsia="he-IL"/>
          <w14:ligatures w14:val="none"/>
        </w:rPr>
        <w:t>תיקון כרת</w:t>
      </w:r>
      <w:r w:rsidRPr="00863CCE">
        <w:rPr>
          <w:rFonts w:ascii="Keren" w:eastAsia="Times New Roman" w:hAnsi="Keren" w:cs="David"/>
          <w:szCs w:val="20"/>
          <w:rtl/>
          <w:lang w:eastAsia="he-IL"/>
          <w14:ligatures w14:val="none"/>
        </w:rPr>
        <w:t xml:space="preserve"> הוא מושג קבלי. תיקון כרת עושים לעילוי נשמת הנפטר בסיום השבעה, בשלושים וביום השנה. עיין בספר הקונטרס היחיאלי סימן נא).</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78C"/>
    <w:rsid w:val="000D0A23"/>
    <w:rsid w:val="002C1211"/>
    <w:rsid w:val="005C4B14"/>
    <w:rsid w:val="00AA7185"/>
    <w:rsid w:val="00B22A00"/>
    <w:rsid w:val="00C6178C"/>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06E2C7-0D9E-4D58-A788-789D6C46A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617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617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6178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6178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6178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617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617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617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617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C6178C"/>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C6178C"/>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C6178C"/>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C6178C"/>
    <w:rPr>
      <w:rFonts w:eastAsiaTheme="majorEastAsia" w:cstheme="majorBidi"/>
      <w:i/>
      <w:iCs/>
      <w:color w:val="0F4761" w:themeColor="accent1" w:themeShade="BF"/>
    </w:rPr>
  </w:style>
  <w:style w:type="character" w:customStyle="1" w:styleId="50">
    <w:name w:val="כותרת 5 תו"/>
    <w:basedOn w:val="a0"/>
    <w:link w:val="5"/>
    <w:uiPriority w:val="9"/>
    <w:semiHidden/>
    <w:rsid w:val="00C6178C"/>
    <w:rPr>
      <w:rFonts w:eastAsiaTheme="majorEastAsia" w:cstheme="majorBidi"/>
      <w:color w:val="0F4761" w:themeColor="accent1" w:themeShade="BF"/>
    </w:rPr>
  </w:style>
  <w:style w:type="character" w:customStyle="1" w:styleId="60">
    <w:name w:val="כותרת 6 תו"/>
    <w:basedOn w:val="a0"/>
    <w:link w:val="6"/>
    <w:uiPriority w:val="9"/>
    <w:semiHidden/>
    <w:rsid w:val="00C6178C"/>
    <w:rPr>
      <w:rFonts w:eastAsiaTheme="majorEastAsia" w:cstheme="majorBidi"/>
      <w:i/>
      <w:iCs/>
      <w:color w:val="595959" w:themeColor="text1" w:themeTint="A6"/>
    </w:rPr>
  </w:style>
  <w:style w:type="character" w:customStyle="1" w:styleId="70">
    <w:name w:val="כותרת 7 תו"/>
    <w:basedOn w:val="a0"/>
    <w:link w:val="7"/>
    <w:uiPriority w:val="9"/>
    <w:semiHidden/>
    <w:rsid w:val="00C6178C"/>
    <w:rPr>
      <w:rFonts w:eastAsiaTheme="majorEastAsia" w:cstheme="majorBidi"/>
      <w:color w:val="595959" w:themeColor="text1" w:themeTint="A6"/>
    </w:rPr>
  </w:style>
  <w:style w:type="character" w:customStyle="1" w:styleId="80">
    <w:name w:val="כותרת 8 תו"/>
    <w:basedOn w:val="a0"/>
    <w:link w:val="8"/>
    <w:uiPriority w:val="9"/>
    <w:semiHidden/>
    <w:rsid w:val="00C6178C"/>
    <w:rPr>
      <w:rFonts w:eastAsiaTheme="majorEastAsia" w:cstheme="majorBidi"/>
      <w:i/>
      <w:iCs/>
      <w:color w:val="272727" w:themeColor="text1" w:themeTint="D8"/>
    </w:rPr>
  </w:style>
  <w:style w:type="character" w:customStyle="1" w:styleId="90">
    <w:name w:val="כותרת 9 תו"/>
    <w:basedOn w:val="a0"/>
    <w:link w:val="9"/>
    <w:uiPriority w:val="9"/>
    <w:semiHidden/>
    <w:rsid w:val="00C6178C"/>
    <w:rPr>
      <w:rFonts w:eastAsiaTheme="majorEastAsia" w:cstheme="majorBidi"/>
      <w:color w:val="272727" w:themeColor="text1" w:themeTint="D8"/>
    </w:rPr>
  </w:style>
  <w:style w:type="paragraph" w:styleId="a3">
    <w:name w:val="Title"/>
    <w:basedOn w:val="a"/>
    <w:next w:val="a"/>
    <w:link w:val="a4"/>
    <w:uiPriority w:val="10"/>
    <w:qFormat/>
    <w:rsid w:val="00C617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C617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6178C"/>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C617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6178C"/>
    <w:pPr>
      <w:spacing w:before="160"/>
      <w:jc w:val="center"/>
    </w:pPr>
    <w:rPr>
      <w:i/>
      <w:iCs/>
      <w:color w:val="404040" w:themeColor="text1" w:themeTint="BF"/>
    </w:rPr>
  </w:style>
  <w:style w:type="character" w:customStyle="1" w:styleId="a8">
    <w:name w:val="ציטוט תו"/>
    <w:basedOn w:val="a0"/>
    <w:link w:val="a7"/>
    <w:uiPriority w:val="29"/>
    <w:rsid w:val="00C6178C"/>
    <w:rPr>
      <w:i/>
      <w:iCs/>
      <w:color w:val="404040" w:themeColor="text1" w:themeTint="BF"/>
    </w:rPr>
  </w:style>
  <w:style w:type="paragraph" w:styleId="a9">
    <w:name w:val="List Paragraph"/>
    <w:basedOn w:val="a"/>
    <w:uiPriority w:val="34"/>
    <w:qFormat/>
    <w:rsid w:val="00C6178C"/>
    <w:pPr>
      <w:ind w:left="720"/>
      <w:contextualSpacing/>
    </w:pPr>
  </w:style>
  <w:style w:type="character" w:styleId="aa">
    <w:name w:val="Intense Emphasis"/>
    <w:basedOn w:val="a0"/>
    <w:uiPriority w:val="21"/>
    <w:qFormat/>
    <w:rsid w:val="00C6178C"/>
    <w:rPr>
      <w:i/>
      <w:iCs/>
      <w:color w:val="0F4761" w:themeColor="accent1" w:themeShade="BF"/>
    </w:rPr>
  </w:style>
  <w:style w:type="paragraph" w:styleId="ab">
    <w:name w:val="Intense Quote"/>
    <w:basedOn w:val="a"/>
    <w:next w:val="a"/>
    <w:link w:val="ac"/>
    <w:uiPriority w:val="30"/>
    <w:qFormat/>
    <w:rsid w:val="00C617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C6178C"/>
    <w:rPr>
      <w:i/>
      <w:iCs/>
      <w:color w:val="0F4761" w:themeColor="accent1" w:themeShade="BF"/>
    </w:rPr>
  </w:style>
  <w:style w:type="character" w:styleId="ad">
    <w:name w:val="Intense Reference"/>
    <w:basedOn w:val="a0"/>
    <w:uiPriority w:val="32"/>
    <w:qFormat/>
    <w:rsid w:val="00C617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316</Words>
  <Characters>1585</Characters>
  <Application>Microsoft Office Word</Application>
  <DocSecurity>0</DocSecurity>
  <Lines>13</Lines>
  <Paragraphs>3</Paragraphs>
  <ScaleCrop>false</ScaleCrop>
  <Company/>
  <LinksUpToDate>false</LinksUpToDate>
  <CharactersWithSpaces>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2025-12-04T23:12:00Z</dcterms:created>
  <dcterms:modified xsi:type="dcterms:W3CDTF">2025-12-04T23:12:00Z</dcterms:modified>
</cp:coreProperties>
</file>