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52FC" w:rsidRPr="00863CCE" w:rsidRDefault="001452FC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לא לפתוח פה לשטן</w: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"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לא לפתוח פה לשטן:ערך באוצר המושגים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" \b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1452FC" w:rsidRPr="00863CCE" w:rsidRDefault="001452FC" w:rsidP="00863CCE">
      <w:pPr>
        <w:tabs>
          <w:tab w:val="num" w:pos="4886"/>
          <w:tab w:val="left" w:pos="5066"/>
          <w:tab w:val="left" w:pos="8306"/>
        </w:tabs>
        <w:spacing w:after="0" w:line="360" w:lineRule="auto"/>
        <w:ind w:left="4346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העוסקים בהספד... הם עומדים ומתפללים והאבל עומד ומצדיק עליו את הדין, ואומר: ריבון העולמים, הרבה חטאתי לפניך ולא נפרעת ממני אחד מני אלף. יהי רצון מלפניך ה' אלקינו, שתגדור פרצותינו ופרצות כל עמך בית ישראל ברחמים.</w:t>
      </w:r>
    </w:p>
    <w:p w:rsidR="001452FC" w:rsidRPr="00863CCE" w:rsidRDefault="001452FC" w:rsidP="00863CCE">
      <w:pPr>
        <w:tabs>
          <w:tab w:val="num" w:pos="4886"/>
          <w:tab w:val="left" w:pos="5066"/>
          <w:tab w:val="left" w:pos="8306"/>
        </w:tabs>
        <w:spacing w:after="0" w:line="360" w:lineRule="auto"/>
        <w:ind w:left="4346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אמר אביי: לא צריך אדם לומר כך. שכך שנו משמו של רבי יוסי: לעולם אל יפתח אדם פיו לשטן.</w:t>
      </w:r>
    </w:p>
    <w:p w:rsidR="001452FC" w:rsidRPr="00863CCE" w:rsidRDefault="001452FC" w:rsidP="00863CCE">
      <w:pPr>
        <w:tabs>
          <w:tab w:val="num" w:pos="386"/>
          <w:tab w:val="left" w:pos="5066"/>
          <w:tab w:val="left" w:pos="8306"/>
        </w:tabs>
        <w:spacing w:after="0" w:line="360" w:lineRule="auto"/>
        <w:ind w:left="4346"/>
        <w:jc w:val="right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ברכות יט, א</w:t>
      </w:r>
    </w:p>
    <w:p w:rsidR="001452FC" w:rsidRPr="00863CCE" w:rsidRDefault="001452FC" w:rsidP="00863CCE">
      <w:pPr>
        <w:tabs>
          <w:tab w:val="num" w:pos="386"/>
          <w:tab w:val="left" w:pos="5066"/>
          <w:tab w:val="left" w:pos="8306"/>
        </w:tabs>
        <w:spacing w:after="0" w:line="360" w:lineRule="auto"/>
        <w:ind w:left="4346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</w:p>
    <w:p w:rsidR="00D5072B" w:rsidRDefault="001452FC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לא יאמר האדם – "לא נפרעתי כפי מעשי" </w:t>
      </w:r>
      <w:r w:rsidRPr="00863CCE">
        <w:rPr>
          <w:rFonts w:ascii="Keren" w:eastAsia="Times New Roman" w:hAnsi="Keren" w:cs="David"/>
          <w:szCs w:val="16"/>
          <w:rtl/>
          <w:lang w:eastAsia="he-IL"/>
          <w14:ligatures w14:val="none"/>
        </w:rPr>
        <w:t>(</w:t>
      </w:r>
      <w:r w:rsidRPr="00863CCE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כלומר "מגיעים לי יסורים, בגלל מעשי הרעים"),</w:t>
      </w:r>
      <w:r w:rsidRPr="00863CCE">
        <w:rPr>
          <w:rFonts w:ascii="Keren" w:eastAsia="Times New Roman" w:hAnsi="Keren" w:cs="David"/>
          <w:szCs w:val="16"/>
          <w:rtl/>
          <w:lang w:eastAsia="he-IL"/>
          <w14:ligatures w14:val="none"/>
        </w:rPr>
        <w:t xml:space="preserve"> 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או כיוצא בדברים אלו, שלא יפתח פה לשטן. </w:t>
      </w:r>
      <w:r w:rsidRPr="00863CCE"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  <w:t xml:space="preserve">כך גם נפסק להלכה (הגהות הרמ"א, יורה דעה סימן שעו, ב) ע"ע </w:t>
      </w:r>
      <w:r w:rsidRPr="00863CCE">
        <w:rPr>
          <w:rFonts w:ascii="Keren" w:eastAsia="Times New Roman" w:hAnsi="Keren" w:cs="David"/>
          <w:b/>
          <w:bCs/>
          <w:sz w:val="24"/>
          <w:szCs w:val="20"/>
          <w:rtl/>
          <w:lang w:eastAsia="he-IL"/>
          <w14:ligatures w14:val="none"/>
        </w:rPr>
        <w:t>נישוק המת.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FC"/>
    <w:rsid w:val="000D0A23"/>
    <w:rsid w:val="001452FC"/>
    <w:rsid w:val="002C1211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62AB7-2D42-4E33-8713-C28A1B821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5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5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5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52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52F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52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52F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52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52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52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52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52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5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52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5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466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2025-12-04T23:12:00Z</dcterms:created>
  <dcterms:modified xsi:type="dcterms:W3CDTF">2025-12-04T23:12:00Z</dcterms:modified>
</cp:coreProperties>
</file>