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652F" w:rsidRPr="00863CCE" w:rsidRDefault="00E3652F"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48"/>
      <w:r w:rsidRPr="00863CCE">
        <w:rPr>
          <w:rFonts w:ascii="Keren" w:eastAsia="Times New Roman" w:hAnsi="Keren" w:cs="David"/>
          <w:b/>
          <w:bCs/>
          <w:sz w:val="26"/>
          <w:szCs w:val="24"/>
          <w:rtl/>
          <w:lang w:eastAsia="he-IL"/>
          <w14:ligatures w14:val="none"/>
        </w:rPr>
        <w:t>לוויה</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"לוויה:ערך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E3652F" w:rsidRPr="00863CCE" w:rsidRDefault="00E3652F"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מצוה גדולה ללוות את המת, והיא בכלל </w:t>
      </w:r>
      <w:r w:rsidRPr="00863CCE">
        <w:rPr>
          <w:rFonts w:ascii="Times New Roman" w:eastAsia="Times New Roman" w:hAnsi="Times New Roman" w:cs="David"/>
          <w:sz w:val="20"/>
          <w:szCs w:val="20"/>
          <w:rtl/>
          <w14:ligatures w14:val="none"/>
        </w:rPr>
        <w:t>וְאָהַבְתָּ לְרֵעֲךָ כָּמוֹךָ</w:t>
      </w:r>
      <w:r w:rsidRPr="00863CCE">
        <w:rPr>
          <w:rFonts w:ascii="Keren" w:eastAsia="Times New Roman" w:hAnsi="Keren" w:cs="David"/>
          <w:szCs w:val="20"/>
          <w:rtl/>
          <w:lang w:eastAsia="he-IL"/>
          <w14:ligatures w14:val="none"/>
        </w:rPr>
        <w:t xml:space="preserve">. </w:t>
      </w:r>
    </w:p>
    <w:p w:rsidR="00E3652F" w:rsidRPr="00863CCE" w:rsidRDefault="00E3652F" w:rsidP="00863CCE">
      <w:pPr>
        <w:autoSpaceDE w:val="0"/>
        <w:autoSpaceDN w:val="0"/>
        <w:adjustRightInd w:val="0"/>
        <w:spacing w:after="0" w:line="360" w:lineRule="auto"/>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t>הרואה את המת ואינו מלוהו, עובר משום "</w:t>
      </w:r>
      <w:r w:rsidRPr="00863CCE">
        <w:rPr>
          <w:rFonts w:ascii="Times New Roman" w:eastAsia="Times New Roman" w:hAnsi="Times New Roman" w:cs="David"/>
          <w:sz w:val="20"/>
          <w:szCs w:val="20"/>
          <w:rtl/>
          <w14:ligatures w14:val="none"/>
        </w:rPr>
        <w:t>לֹעֵג לָרָשׁ</w:t>
      </w:r>
      <w:r w:rsidRPr="00863CCE">
        <w:rPr>
          <w:rFonts w:ascii="Keren" w:eastAsia="Times New Roman" w:hAnsi="Keren" w:cs="David"/>
          <w:szCs w:val="20"/>
          <w:rtl/>
          <w:lang w:eastAsia="he-IL"/>
          <w14:ligatures w14:val="none"/>
        </w:rPr>
        <w:t>" (משלי יז, ה), ובר נידוי הוא. ולפחות ילוונו ארבע אמות (שלחן ערוך יורה דעה סימן שס"א). ונהגו שהמלווים את המת ארבע אמות או יותר והולכים לדרכם, ממתינים עד שתעלם המיטה מן העין ויש לזה סימוכין ממה שכתב החזקוני בסוף פרשת שופטים "</w:t>
      </w:r>
      <w:r w:rsidRPr="00863CCE">
        <w:rPr>
          <w:rFonts w:ascii="Times New Roman" w:eastAsia="Times New Roman" w:hAnsi="Times New Roman" w:cs="David"/>
          <w:sz w:val="20"/>
          <w:szCs w:val="20"/>
          <w:rtl/>
          <w14:ligatures w14:val="none"/>
        </w:rPr>
        <w:t>וְעֵינֵינוּ לֹא רָאוּ</w:t>
      </w:r>
      <w:r w:rsidRPr="00863CCE">
        <w:rPr>
          <w:rFonts w:ascii="Keren" w:eastAsia="Times New Roman" w:hAnsi="Keren" w:cs="David"/>
          <w:szCs w:val="20"/>
          <w:rtl/>
          <w:lang w:eastAsia="he-IL"/>
          <w14:ligatures w14:val="none"/>
        </w:rPr>
        <w:t xml:space="preserve">" – מכאן למלַוה את חברו שצריך לעמוד במקומו עד שיתעלם מעיניו. (ילקוט יוסף סימן י, ב). </w:t>
      </w:r>
    </w:p>
    <w:p w:rsidR="00E3652F" w:rsidRPr="00863CCE" w:rsidRDefault="00E3652F"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 xml:space="preserve">מבטלים תורה ללווית המת. למי שלימד אחרים אין לו שיעור, ואפילו יש עמו כמה אלפים מתבטל מלימודו כדי ללוותו. אבל למי שלא שנה אין מבטלים אם יש לו מי שיתעסק עמו, והוא שיש שם עשרה כדי שיוכלו לומר קדיש וברכת אבלים. אבל אם אין שם מתעסקים קבועים, צריכים ליבטל ממלאכה כל בני העיר, ובשעת הוצאת המת הכל בטלים ממלאכה. </w:t>
      </w:r>
    </w:p>
    <w:p w:rsidR="00E3652F" w:rsidRPr="00863CCE" w:rsidRDefault="00E3652F"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Times New Roman" w:eastAsia="Times New Roman" w:hAnsi="Times New Roman" w:cs="David"/>
          <w:szCs w:val="20"/>
          <w:rtl/>
          <w:lang w:eastAsia="he-IL"/>
          <w14:ligatures w14:val="none"/>
        </w:rPr>
        <w:t>כשבאים הכתפים לשאת את המת נהגו לומר "</w:t>
      </w:r>
      <w:r w:rsidRPr="00863CCE">
        <w:rPr>
          <w:rFonts w:ascii="Keren" w:eastAsia="Times New Roman" w:hAnsi="Keren" w:cs="David"/>
          <w:sz w:val="16"/>
          <w:szCs w:val="20"/>
          <w:rtl/>
          <w:lang w:eastAsia="he-IL"/>
          <w14:ligatures w14:val="none"/>
        </w:rPr>
        <w:t>וּבִנְסֹעַ הַמִּשְׁכָּן יוֹרִידוּ אֹתוֹ הַלְוִיִּם וּבַחֲנֹת הַמִּשְׁכָּן יָקִימוּ אֹתוֹ הַלְוִיִּם</w:t>
      </w:r>
      <w:r w:rsidRPr="00863CCE">
        <w:rPr>
          <w:rFonts w:ascii="Times New Roman" w:eastAsia="Times New Roman" w:hAnsi="Times New Roman" w:cs="David"/>
          <w:szCs w:val="20"/>
          <w:rtl/>
          <w:lang w:eastAsia="he-IL"/>
          <w14:ligatures w14:val="none"/>
        </w:rPr>
        <w:t>" (במדבר א, נא</w:t>
      </w:r>
      <w:r w:rsidRPr="00863CCE">
        <w:rPr>
          <w:rFonts w:ascii="Times New Roman" w:eastAsia="Times New Roman" w:hAnsi="Times New Roman" w:cs="David"/>
          <w:sz w:val="20"/>
          <w:szCs w:val="20"/>
          <w:rtl/>
          <w:lang w:eastAsia="he-IL"/>
          <w14:ligatures w14:val="none"/>
        </w:rPr>
        <w:t>), "</w:t>
      </w:r>
      <w:r w:rsidRPr="00863CCE">
        <w:rPr>
          <w:rFonts w:ascii="Keren" w:eastAsia="Times New Roman" w:hAnsi="Keren" w:cs="David"/>
          <w:sz w:val="20"/>
          <w:szCs w:val="20"/>
          <w:rtl/>
          <w:lang w:eastAsia="he-IL"/>
          <w14:ligatures w14:val="none"/>
        </w:rPr>
        <w:t>וַיְהִי בִּנְסֹעַ הָאָרֹן וַיֹּאמֶר מֹשֶׁה קוּמָה ה' וְיָפֻצוּ אֹיְבֶיךָ וְיָנֻסוּ מְשַׂנְאֶיךָ מִפָּנֶיךָ</w:t>
      </w:r>
      <w:r w:rsidRPr="00863CCE">
        <w:rPr>
          <w:rFonts w:ascii="Times New Roman" w:eastAsia="Times New Roman" w:hAnsi="Times New Roman" w:cs="David"/>
          <w:sz w:val="20"/>
          <w:szCs w:val="20"/>
          <w:rtl/>
          <w:lang w:eastAsia="he-IL"/>
          <w14:ligatures w14:val="none"/>
        </w:rPr>
        <w:t>"</w:t>
      </w:r>
      <w:r w:rsidRPr="00863CCE">
        <w:rPr>
          <w:rFonts w:ascii="Times New Roman" w:eastAsia="Times New Roman" w:hAnsi="Times New Roman" w:cs="David"/>
          <w:szCs w:val="20"/>
          <w:rtl/>
          <w:lang w:eastAsia="he-IL"/>
          <w14:ligatures w14:val="none"/>
        </w:rPr>
        <w:t xml:space="preserve"> (שם י, לה). הטעם, כיון שאדם מישראל מושווה לספר תורה. ספר התורה אמור להיות דוגמא וסמל להתנהגות חיובית וראויה וכך גם אמור להיות אדם מישראל. בפסוקים דלעיל מוזכרים המשכן וארון הברית, וכמו שבתוך הארון והמשכן הגשמיים היתה השראת השכינה הרוחנית, כך גם הגוף הריהו הכלי הגשמי בו מונחת הנשמה הרוחנית, חלק אלוה ממעל.</w:t>
      </w:r>
    </w:p>
    <w:p w:rsidR="00E3652F" w:rsidRPr="00863CCE" w:rsidRDefault="00E3652F" w:rsidP="00863CCE">
      <w:pPr>
        <w:spacing w:after="0" w:line="360" w:lineRule="auto"/>
        <w:jc w:val="both"/>
        <w:rPr>
          <w:rFonts w:ascii="Keren" w:eastAsia="Times New Roman" w:hAnsi="Keren" w:cs="David"/>
          <w:szCs w:val="20"/>
          <w:rtl/>
          <w:lang w:eastAsia="he-IL"/>
          <w14:ligatures w14:val="none"/>
        </w:rPr>
      </w:pPr>
      <w:r w:rsidRPr="00863CCE">
        <w:rPr>
          <w:rFonts w:ascii="Times New Roman" w:eastAsia="Times New Roman" w:hAnsi="Times New Roman" w:cs="David"/>
          <w:szCs w:val="20"/>
          <w:rtl/>
          <w:lang w:eastAsia="he-IL"/>
          <w14:ligatures w14:val="none"/>
        </w:rPr>
        <w:t>על דרך הקבלה והסוד הוסיפו עניינים נוספים בחשיבות הלוויה:</w:t>
      </w:r>
    </w:p>
    <w:p w:rsidR="00E3652F" w:rsidRPr="00863CCE" w:rsidRDefault="00E3652F" w:rsidP="00863CCE">
      <w:pPr>
        <w:autoSpaceDE w:val="0"/>
        <w:autoSpaceDN w:val="0"/>
        <w:adjustRightInd w:val="0"/>
        <w:spacing w:after="0" w:line="360" w:lineRule="auto"/>
        <w:ind w:left="399"/>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נשיאת המת הצדיק על הכתף הוא בסוד ויביאו את המשכן אל משה ובנסוע המשכן שהיא הנשמה הזו הממושכנת בעולם הזה בעל כרחה… וגם בחנות המשכן כשהולכת למקום מנוחתה יש ללוויתה שרפי קודש אשר פעל ומלאכים אין מספר מול צדקותיו אשר עשה… באופן כי "</w:t>
      </w:r>
      <w:r w:rsidRPr="00863CCE">
        <w:rPr>
          <w:rFonts w:ascii="Times New Roman" w:eastAsia="Times New Roman" w:hAnsi="Times New Roman" w:cs="David"/>
          <w:sz w:val="20"/>
          <w:szCs w:val="20"/>
          <w:rtl/>
          <w14:ligatures w14:val="none"/>
        </w:rPr>
        <w:t>הַזָּר הַקָּרֵב יוּמָת</w:t>
      </w:r>
      <w:r w:rsidRPr="00863CCE">
        <w:rPr>
          <w:rFonts w:ascii="Keren" w:eastAsia="Times New Roman" w:hAnsi="Keren" w:cs="David"/>
          <w:szCs w:val="20"/>
          <w:rtl/>
          <w:lang w:eastAsia="he-IL"/>
          <w14:ligatures w14:val="none"/>
        </w:rPr>
        <w:t>". פירוש, הזר הקרב לנגד נשמה זו, יומת ויבולע כי סקל המסלה ופנה לו דרך לעלות לה' בלי עכוב; ו"</w:t>
      </w:r>
      <w:r w:rsidRPr="00863CCE">
        <w:rPr>
          <w:rFonts w:ascii="Times New Roman" w:eastAsia="Times New Roman" w:hAnsi="Times New Roman" w:cs="David"/>
          <w:sz w:val="20"/>
          <w:szCs w:val="20"/>
          <w:rtl/>
          <w14:ligatures w14:val="none"/>
        </w:rPr>
        <w:t>קוֹל קוֹרֵא בַּמִּדְבָּר</w:t>
      </w:r>
      <w:r w:rsidRPr="00863CCE">
        <w:rPr>
          <w:rFonts w:ascii="Keren" w:eastAsia="Times New Roman" w:hAnsi="Keren" w:cs="David"/>
          <w:szCs w:val="20"/>
          <w:rtl/>
          <w:lang w:eastAsia="he-IL"/>
          <w14:ligatures w14:val="none"/>
        </w:rPr>
        <w:t>" שהם כוחות החיצונים השוכנים במקום חורב – "</w:t>
      </w:r>
      <w:r w:rsidRPr="00863CCE">
        <w:rPr>
          <w:rFonts w:ascii="Times New Roman" w:eastAsia="Times New Roman" w:hAnsi="Times New Roman" w:cs="David"/>
          <w:sz w:val="20"/>
          <w:szCs w:val="20"/>
          <w:rtl/>
          <w14:ligatures w14:val="none"/>
        </w:rPr>
        <w:t xml:space="preserve">פַּנּוּ דֶּרֶךְ ה' </w:t>
      </w:r>
      <w:r w:rsidRPr="00863CCE">
        <w:rPr>
          <w:rFonts w:ascii="Keren" w:eastAsia="Times New Roman" w:hAnsi="Keren" w:cs="David"/>
          <w:szCs w:val="20"/>
          <w:rtl/>
          <w:lang w:eastAsia="he-IL"/>
          <w14:ligatures w14:val="none"/>
        </w:rPr>
        <w:t>". ואם כן המלווים את המת נעשים מרכבה למלווים העליונים, וכמו שהם מלווים גופו למטה בגופם כן יכוונו ללוות נפשו בסוד נפשם, ורוחו ברוחם ונשמתו בנשמתם, כי נשמת המת ורוחו ונפשו מלווים הגוף לקבר, ולא לחנם הזהירו חכמים כל כך בכבוד המת ובלוויתו ואמרו הרואה את המת ואינו מלווהו עובר משום לועג לרש ודברים הרבה כיוצא בזה, כי ודאי לא כוונו אל הכבוד המדומה לגוף בלבד…</w:t>
      </w:r>
    </w:p>
    <w:p w:rsidR="00E3652F" w:rsidRPr="00863CCE" w:rsidRDefault="00E3652F" w:rsidP="00863CCE">
      <w:pPr>
        <w:autoSpaceDE w:val="0"/>
        <w:autoSpaceDN w:val="0"/>
        <w:adjustRightInd w:val="0"/>
        <w:spacing w:after="0" w:line="360" w:lineRule="auto"/>
        <w:ind w:left="399"/>
        <w:jc w:val="both"/>
        <w:rPr>
          <w:rFonts w:ascii="Times New Roman" w:eastAsia="Times New Roman" w:hAnsi="Times New Roman" w:cs="David"/>
          <w:sz w:val="20"/>
          <w:szCs w:val="20"/>
          <w:rtl/>
          <w14:ligatures w14:val="none"/>
        </w:rPr>
      </w:pP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"אישים:יעקב אבינו"</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והסדר שתקן יעקב לבניו בנשיאת מטתו כמו שכתוב במדרש, כיון שבא יעקב אבינו להפטר מן העולם קרא לבניו וצום וזרזם על דרכי האלהים וקבלו עליהם מלכות שמים. משגמר דבריו אמר להם: כשתטלו אותי, ביראה ובכבוד לוו אותי ולא יגע אדם אחר במטתי. וכן ממה שציוה רבנו הקדוש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יהודה הנשיא"</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"אישים:רבי שמעון בר יוחאי"</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lang w:eastAsia="he-IL"/>
          <w14:ligatures w14:val="none"/>
        </w:rPr>
        <w:fldChar w:fldCharType="end"/>
      </w:r>
      <w:r w:rsidRPr="00863CCE">
        <w:rPr>
          <w:rFonts w:ascii="Keren" w:eastAsia="Times New Roman" w:hAnsi="Keren" w:cs="David"/>
          <w:szCs w:val="20"/>
          <w:rtl/>
          <w:lang w:eastAsia="he-IL"/>
          <w14:ligatures w14:val="none"/>
        </w:rPr>
        <w:t xml:space="preserve">וממה שנתבאר בקבורת רבי שמעון בר יוחאי נראה בפירוש כי כבוד והדר ונייחא רבא יש לצדיקים כשאנשים הגונים מתעסקים בהם אחר פטירתם, ולא כל הרוצה ליטול את השם יטול. ואם בכניסת חתן וכלה לחופה המנהג לעשות על ידי גדול, כל שכן וקל וחומר להכניס הנשמה והנלוים אליה עם הגוף למקום משכן כבודם, כי כבוד יעשו לו במותו על ידי אנשים של צורה. ואמר רבי שמעון בר יוחאי כי קבורה מצוה מן התורה ונלמדת מהפסוק </w:t>
      </w:r>
      <w:r w:rsidRPr="00863CCE">
        <w:rPr>
          <w:rFonts w:ascii="Keren" w:eastAsia="Times New Roman" w:hAnsi="Keren" w:cs="David"/>
          <w:sz w:val="20"/>
          <w:szCs w:val="20"/>
          <w:rtl/>
          <w:lang w:eastAsia="he-IL"/>
          <w14:ligatures w14:val="none"/>
        </w:rPr>
        <w:t>"כִּי קָבוֹר תִּקְבְּרֶנּוּ בַּיּוֹם הַהוּא</w:t>
      </w:r>
      <w:r w:rsidRPr="00863CCE">
        <w:rPr>
          <w:rFonts w:ascii="Keren" w:eastAsia="Times New Roman" w:hAnsi="Keren" w:cs="David"/>
          <w:szCs w:val="20"/>
          <w:rtl/>
          <w:lang w:eastAsia="he-IL"/>
          <w14:ligatures w14:val="none"/>
        </w:rPr>
        <w:t>". ובירושלמי אמרו כי לווית המת קודם לתלמוד תורה, וחכמי המשנה חשבו דבר זה לזכות גדולה, עד שאמרו (סוטה פרק א, ט):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"אישים:יוסף הצדיק"</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יוסף זכה לקבור את אביו ואין באחיו גדול ממנו, שנאמר: "</w:t>
      </w:r>
      <w:r w:rsidRPr="00863CCE">
        <w:rPr>
          <w:rFonts w:ascii="Keren" w:eastAsia="Times New Roman" w:hAnsi="Keren" w:cs="David"/>
          <w:sz w:val="20"/>
          <w:szCs w:val="20"/>
          <w:rtl/>
          <w:lang w:eastAsia="he-IL"/>
          <w14:ligatures w14:val="none"/>
        </w:rPr>
        <w:t>וַיַּעַל יוֹסֵף לִקְבֹּר אֶת אָבִיו... וַיַּעַל עִמּוֹ גַּם רֶכֶב גַּם פָּרָשִׁים</w:t>
      </w:r>
      <w:r w:rsidRPr="00863CCE">
        <w:rPr>
          <w:rFonts w:ascii="Keren" w:eastAsia="Times New Roman" w:hAnsi="Keren" w:cs="David"/>
          <w:szCs w:val="20"/>
          <w:rtl/>
          <w:lang w:eastAsia="he-IL"/>
          <w14:ligatures w14:val="none"/>
        </w:rPr>
        <w:t>". מי לנו גדול מיוסף שלא נתעסק בו אלא משה. משה זכה בעצמות יוסף ואין בישראל גדול ממנו, שנאמר:"</w:t>
      </w:r>
      <w:r w:rsidRPr="00863CCE">
        <w:rPr>
          <w:rFonts w:ascii="Keren" w:eastAsia="Times New Roman" w:hAnsi="Keren" w:cs="David"/>
          <w:sz w:val="20"/>
          <w:szCs w:val="20"/>
          <w:rtl/>
          <w:lang w:eastAsia="he-IL"/>
          <w14:ligatures w14:val="none"/>
        </w:rPr>
        <w:t>וַיִּקַּח מֹשֶׁה אֶת עַצְמוֹת יוֹסֵף עִמּוֹ</w:t>
      </w:r>
      <w:r w:rsidRPr="00863CCE">
        <w:rPr>
          <w:rFonts w:ascii="Keren" w:eastAsia="Times New Roman" w:hAnsi="Keren" w:cs="David"/>
          <w:szCs w:val="20"/>
          <w:rtl/>
          <w:lang w:eastAsia="he-IL"/>
          <w14:ligatures w14:val="none"/>
        </w:rPr>
        <w:t>". מי גדול ממשה שלא נתעסק בו אלא המקום, שנאמר:"</w:t>
      </w:r>
      <w:r w:rsidRPr="00863CCE">
        <w:rPr>
          <w:rFonts w:ascii="Keren" w:eastAsia="Times New Roman" w:hAnsi="Keren" w:cs="David"/>
          <w:sz w:val="20"/>
          <w:szCs w:val="20"/>
          <w:rtl/>
          <w:lang w:eastAsia="he-IL"/>
          <w14:ligatures w14:val="none"/>
        </w:rPr>
        <w:t>וַיִּקְבֹּר אֹתוֹ בַגַּיְ</w:t>
      </w:r>
      <w:r w:rsidRPr="00863CCE">
        <w:rPr>
          <w:rFonts w:ascii="Keren" w:eastAsia="Times New Roman" w:hAnsi="Keren" w:cs="David"/>
          <w:szCs w:val="20"/>
          <w:rtl/>
          <w:lang w:eastAsia="he-IL"/>
          <w14:ligatures w14:val="none"/>
        </w:rPr>
        <w:t>". ובעת הלוויה יכוונו ללוות הקדושה עמו בכח ניצוצות נשמת כל אחד מהם, שהקדושה חופפת ושוכנת בכל עדה מישראל כדכתיב "</w:t>
      </w:r>
      <w:r w:rsidRPr="00863CCE">
        <w:rPr>
          <w:rFonts w:ascii="Times New Roman" w:eastAsia="Times New Roman" w:hAnsi="Times New Roman" w:cs="David"/>
          <w:sz w:val="20"/>
          <w:szCs w:val="20"/>
          <w:rtl/>
          <w14:ligatures w14:val="none"/>
        </w:rPr>
        <w:t>וְנִקְדַּשְׁתִּי בְּתוֹךְ בְּנֵי יִשְׂרָאֵל</w:t>
      </w:r>
      <w:r w:rsidRPr="00863CCE">
        <w:rPr>
          <w:rFonts w:ascii="Keren" w:eastAsia="Times New Roman" w:hAnsi="Keren" w:cs="David"/>
          <w:szCs w:val="20"/>
          <w:rtl/>
          <w:lang w:eastAsia="he-IL"/>
          <w14:ligatures w14:val="none"/>
        </w:rPr>
        <w:t xml:space="preserve">". וכבר אמרנו כי היודע סוד הלוויה לחיים, ממנה יבין צורך הלוויה למת. ועוד יתוסף ללווית המת כוונות אחרות ונרמז קצת מהכוונה של הלוויה בזהר (פרשת וירא דף קכו), ולא לחנם תלמוד תורה נדחה מפניה, ולמי ששונה לאחרים אין לו שיעור". (מעבר יַבֹּק מאמר שפתי רננות פרק טו). </w:t>
      </w:r>
    </w:p>
    <w:p w:rsidR="00D5072B" w:rsidRDefault="00E3652F">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ארון המת. חברה קדישא. חסד של אמת. לועג לרש.</w:t>
      </w:r>
      <w:r w:rsidRPr="00863CCE">
        <w:rPr>
          <w:rFonts w:ascii="Keren" w:eastAsia="Times New Roman" w:hAnsi="Keren" w:cs="David"/>
          <w:sz w:val="26"/>
          <w:szCs w:val="24"/>
          <w:rtl/>
          <w:lang w:eastAsia="he-IL"/>
          <w14:ligatures w14:val="none"/>
        </w:rPr>
        <w:t xml:space="preserve"> </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52F"/>
    <w:rsid w:val="000D0A23"/>
    <w:rsid w:val="002C1211"/>
    <w:rsid w:val="005C4B14"/>
    <w:rsid w:val="00AA7185"/>
    <w:rsid w:val="00B22A00"/>
    <w:rsid w:val="00D5072B"/>
    <w:rsid w:val="00E365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435009-16E9-4778-814E-B927010D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36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36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652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652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652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652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652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652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652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3652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E3652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E3652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E3652F"/>
    <w:rPr>
      <w:rFonts w:eastAsiaTheme="majorEastAsia" w:cstheme="majorBidi"/>
      <w:i/>
      <w:iCs/>
      <w:color w:val="0F4761" w:themeColor="accent1" w:themeShade="BF"/>
    </w:rPr>
  </w:style>
  <w:style w:type="character" w:customStyle="1" w:styleId="50">
    <w:name w:val="כותרת 5 תו"/>
    <w:basedOn w:val="a0"/>
    <w:link w:val="5"/>
    <w:uiPriority w:val="9"/>
    <w:semiHidden/>
    <w:rsid w:val="00E3652F"/>
    <w:rPr>
      <w:rFonts w:eastAsiaTheme="majorEastAsia" w:cstheme="majorBidi"/>
      <w:color w:val="0F4761" w:themeColor="accent1" w:themeShade="BF"/>
    </w:rPr>
  </w:style>
  <w:style w:type="character" w:customStyle="1" w:styleId="60">
    <w:name w:val="כותרת 6 תו"/>
    <w:basedOn w:val="a0"/>
    <w:link w:val="6"/>
    <w:uiPriority w:val="9"/>
    <w:semiHidden/>
    <w:rsid w:val="00E3652F"/>
    <w:rPr>
      <w:rFonts w:eastAsiaTheme="majorEastAsia" w:cstheme="majorBidi"/>
      <w:i/>
      <w:iCs/>
      <w:color w:val="595959" w:themeColor="text1" w:themeTint="A6"/>
    </w:rPr>
  </w:style>
  <w:style w:type="character" w:customStyle="1" w:styleId="70">
    <w:name w:val="כותרת 7 תו"/>
    <w:basedOn w:val="a0"/>
    <w:link w:val="7"/>
    <w:uiPriority w:val="9"/>
    <w:semiHidden/>
    <w:rsid w:val="00E3652F"/>
    <w:rPr>
      <w:rFonts w:eastAsiaTheme="majorEastAsia" w:cstheme="majorBidi"/>
      <w:color w:val="595959" w:themeColor="text1" w:themeTint="A6"/>
    </w:rPr>
  </w:style>
  <w:style w:type="character" w:customStyle="1" w:styleId="80">
    <w:name w:val="כותרת 8 תו"/>
    <w:basedOn w:val="a0"/>
    <w:link w:val="8"/>
    <w:uiPriority w:val="9"/>
    <w:semiHidden/>
    <w:rsid w:val="00E3652F"/>
    <w:rPr>
      <w:rFonts w:eastAsiaTheme="majorEastAsia" w:cstheme="majorBidi"/>
      <w:i/>
      <w:iCs/>
      <w:color w:val="272727" w:themeColor="text1" w:themeTint="D8"/>
    </w:rPr>
  </w:style>
  <w:style w:type="character" w:customStyle="1" w:styleId="90">
    <w:name w:val="כותרת 9 תו"/>
    <w:basedOn w:val="a0"/>
    <w:link w:val="9"/>
    <w:uiPriority w:val="9"/>
    <w:semiHidden/>
    <w:rsid w:val="00E3652F"/>
    <w:rPr>
      <w:rFonts w:eastAsiaTheme="majorEastAsia" w:cstheme="majorBidi"/>
      <w:color w:val="272727" w:themeColor="text1" w:themeTint="D8"/>
    </w:rPr>
  </w:style>
  <w:style w:type="paragraph" w:styleId="a3">
    <w:name w:val="Title"/>
    <w:basedOn w:val="a"/>
    <w:next w:val="a"/>
    <w:link w:val="a4"/>
    <w:uiPriority w:val="10"/>
    <w:qFormat/>
    <w:rsid w:val="00E36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365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652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3652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3652F"/>
    <w:pPr>
      <w:spacing w:before="160"/>
      <w:jc w:val="center"/>
    </w:pPr>
    <w:rPr>
      <w:i/>
      <w:iCs/>
      <w:color w:val="404040" w:themeColor="text1" w:themeTint="BF"/>
    </w:rPr>
  </w:style>
  <w:style w:type="character" w:customStyle="1" w:styleId="a8">
    <w:name w:val="ציטוט תו"/>
    <w:basedOn w:val="a0"/>
    <w:link w:val="a7"/>
    <w:uiPriority w:val="29"/>
    <w:rsid w:val="00E3652F"/>
    <w:rPr>
      <w:i/>
      <w:iCs/>
      <w:color w:val="404040" w:themeColor="text1" w:themeTint="BF"/>
    </w:rPr>
  </w:style>
  <w:style w:type="paragraph" w:styleId="a9">
    <w:name w:val="List Paragraph"/>
    <w:basedOn w:val="a"/>
    <w:uiPriority w:val="34"/>
    <w:qFormat/>
    <w:rsid w:val="00E3652F"/>
    <w:pPr>
      <w:ind w:left="720"/>
      <w:contextualSpacing/>
    </w:pPr>
  </w:style>
  <w:style w:type="character" w:styleId="aa">
    <w:name w:val="Intense Emphasis"/>
    <w:basedOn w:val="a0"/>
    <w:uiPriority w:val="21"/>
    <w:qFormat/>
    <w:rsid w:val="00E3652F"/>
    <w:rPr>
      <w:i/>
      <w:iCs/>
      <w:color w:val="0F4761" w:themeColor="accent1" w:themeShade="BF"/>
    </w:rPr>
  </w:style>
  <w:style w:type="paragraph" w:styleId="ab">
    <w:name w:val="Intense Quote"/>
    <w:basedOn w:val="a"/>
    <w:next w:val="a"/>
    <w:link w:val="ac"/>
    <w:uiPriority w:val="30"/>
    <w:qFormat/>
    <w:rsid w:val="00E36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3652F"/>
    <w:rPr>
      <w:i/>
      <w:iCs/>
      <w:color w:val="0F4761" w:themeColor="accent1" w:themeShade="BF"/>
    </w:rPr>
  </w:style>
  <w:style w:type="character" w:styleId="ad">
    <w:name w:val="Intense Reference"/>
    <w:basedOn w:val="a0"/>
    <w:uiPriority w:val="32"/>
    <w:qFormat/>
    <w:rsid w:val="00E365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650</Words>
  <Characters>3252</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