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0342" w:rsidRPr="00863CCE" w:rsidRDefault="0095034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9"/>
      <w:r w:rsidRPr="00863CCE">
        <w:rPr>
          <w:rFonts w:ascii="Keren" w:eastAsia="Times New Roman" w:hAnsi="Keren" w:cs="David"/>
          <w:b/>
          <w:bCs/>
          <w:sz w:val="26"/>
          <w:szCs w:val="24"/>
          <w:rtl/>
          <w:lang w:eastAsia="he-IL"/>
          <w14:ligatures w14:val="none"/>
        </w:rPr>
        <w:t>לוז</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"לוז:ערך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50342" w:rsidRPr="00863CCE" w:rsidRDefault="00950342" w:rsidP="00863CCE">
      <w:pPr>
        <w:tabs>
          <w:tab w:val="left" w:pos="8306"/>
        </w:tabs>
        <w:spacing w:after="0" w:line="360" w:lineRule="auto"/>
        <w:ind w:left="26"/>
        <w:jc w:val="both"/>
        <w:rPr>
          <w:rFonts w:ascii="Times New Roman" w:eastAsia="Times New Roman" w:hAnsi="Times New Roman" w:cs="David"/>
          <w:szCs w:val="20"/>
          <w:rtl/>
          <w:lang w:eastAsia="he-IL"/>
          <w14:ligatures w14:val="none"/>
        </w:rPr>
      </w:pPr>
      <w:r w:rsidRPr="00863CCE">
        <w:rPr>
          <w:rFonts w:ascii="Keren" w:eastAsia="Times New Roman" w:hAnsi="Keren" w:cs="David"/>
          <w:szCs w:val="20"/>
          <w:rtl/>
          <w:lang w:eastAsia="he-IL"/>
          <w14:ligatures w14:val="none"/>
        </w:rPr>
        <w:t xml:space="preserve">עצם רוחנית בעורף האדם בעמוד השדרה. </w:t>
      </w:r>
      <w:r w:rsidRPr="00863CCE">
        <w:rPr>
          <w:rFonts w:ascii="Times New Roman" w:eastAsia="Times New Roman" w:hAnsi="Times New Roman" w:cs="David"/>
          <w:szCs w:val="20"/>
          <w:rtl/>
          <w:lang w:eastAsia="he-IL"/>
          <w14:ligatures w14:val="none"/>
        </w:rPr>
        <w:t>נקודת חיות בראשיתית ממנה נברא האדם וממנה הוא עתיד לחזור ולהווצר בתחיית המתים. נקודת חיים מרוכזת בלתי ניתנת למחייה ולכליון.</w:t>
      </w:r>
    </w:p>
    <w:p w:rsidR="00950342" w:rsidRPr="00863CCE" w:rsidRDefault="00950342"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w:t>
      </w:r>
      <w:r w:rsidRPr="00863CCE">
        <w:rPr>
          <w:rFonts w:ascii="Times New Roman" w:eastAsia="Times New Roman" w:hAnsi="Times New Roman" w:cs="David"/>
          <w:sz w:val="20"/>
          <w:szCs w:val="20"/>
          <w:rtl/>
          <w14:ligatures w14:val="none"/>
        </w:rPr>
        <w:t>וַיֹּאמֶר ה' אֶמְחֶה אֶת הָאָדָם</w:t>
      </w:r>
      <w:r w:rsidRPr="00863CCE">
        <w:rPr>
          <w:rFonts w:ascii="Keren" w:eastAsia="Times New Roman" w:hAnsi="Keren" w:cs="David"/>
          <w:szCs w:val="20"/>
          <w:rtl/>
          <w:lang w:eastAsia="he-IL"/>
          <w14:ligatures w14:val="none"/>
        </w:rPr>
        <w:t xml:space="preserve">" - אפילו לוז של שדרה שממנו הקב"ה מציץ (בורא) את האדם לעתיד לבוא נמחה (במבול). </w:t>
      </w:r>
    </w:p>
    <w:p w:rsidR="00950342" w:rsidRPr="00863CCE" w:rsidRDefault="00950342" w:rsidP="00863CCE">
      <w:pPr>
        <w:tabs>
          <w:tab w:val="left" w:pos="8306"/>
        </w:tabs>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אדרינוס שחיק עצמות שאל את ר' יהושע בן חנניה, אמר לו: מהיכן הקב"ה מציץ את האדם לעתיד לבוא? אמר לו: מלוז של שדרה. אמר לו: מנין אתה יודע? אמר לו איתיתה לידי (הביאהו לידי) ואנא מודע לך. טחנו בריחים ולא נטחן; שרפו באש ולא נשרף; נתנו במים ולא נמחה; נתנו על הסדן והתחיל מכה עליו בפטיש, נחלק הסדן ונבקע הפטיש ולא חסר כלום (בראשית רבה פרשה כח, ג; ויקרא רבה פרשה יח, א).</w:t>
      </w:r>
    </w:p>
    <w:p w:rsidR="00950342" w:rsidRPr="00863CCE" w:rsidRDefault="00950342" w:rsidP="00863CCE">
      <w:pPr>
        <w:tabs>
          <w:tab w:val="left" w:pos="8306"/>
        </w:tabs>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ובסידורים מפרש </w:t>
      </w:r>
      <w:r w:rsidRPr="00863CCE">
        <w:rPr>
          <w:rFonts w:ascii="Times New Roman" w:eastAsia="Times New Roman" w:hAnsi="Times New Roman" w:cs="David"/>
          <w:szCs w:val="20"/>
          <w:rtl/>
          <w:lang w:eastAsia="he-IL"/>
          <w14:ligatures w14:val="none"/>
        </w:rPr>
        <w:fldChar w:fldCharType="begin"/>
      </w:r>
      <w:r w:rsidRPr="00863CCE">
        <w:rPr>
          <w:rFonts w:ascii="Times New Roman" w:eastAsia="Times New Roman" w:hAnsi="Times New Roman" w:cs="David"/>
          <w:sz w:val="24"/>
          <w:szCs w:val="24"/>
          <w:lang w:eastAsia="he-IL"/>
          <w14:ligatures w14:val="none"/>
        </w:rPr>
        <w:instrText xml:space="preserve"> XE "</w:instrText>
      </w:r>
      <w:r w:rsidRPr="00863CCE">
        <w:rPr>
          <w:rFonts w:ascii="Times New Roman" w:eastAsia="Times New Roman" w:hAnsi="Times New Roman" w:cs="David"/>
          <w:sz w:val="24"/>
          <w:szCs w:val="24"/>
          <w:rtl/>
          <w:lang w:eastAsia="he-IL"/>
          <w14:ligatures w14:val="none"/>
        </w:rPr>
        <w:instrText>אברים:לוז</w:instrText>
      </w:r>
      <w:r w:rsidRPr="00863CCE">
        <w:rPr>
          <w:rFonts w:ascii="Times New Roman" w:eastAsia="Times New Roman" w:hAnsi="Times New Roman" w:cs="David"/>
          <w:sz w:val="24"/>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r w:rsidRPr="00863CCE">
        <w:rPr>
          <w:rFonts w:ascii="Times New Roman" w:eastAsia="Times New Roman" w:hAnsi="Times New Roman" w:cs="David"/>
          <w:szCs w:val="20"/>
          <w:rtl/>
          <w:lang w:eastAsia="he-IL"/>
          <w14:ligatures w14:val="none"/>
        </w:rPr>
        <w:t>אבר יש באדם ו"נסכוי", שמו ואינו נהנה מאכילה אלא במוצאי שבת (בית יוסף על טור אורח חיים סימן ש. הדברים הובאו להלכה גם בספרי הפוסקים האחרונים, משנה ברורה וערוך השלחן).</w:t>
      </w:r>
    </w:p>
    <w:p w:rsidR="00950342" w:rsidRPr="00863CCE" w:rsidRDefault="00950342"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וכתבו המקובלים: יש עצם באדם שאינו נהנה משום אכילה אלא רק מסעודה רביעית דמוצאי שבת. ועצם זה נשאר קיים בקבר ואין שולט בו רקבון; והוא הנקרא "נסכוי" וגם נקרא "לוז" וגם נקרא "בתואל". ומזה העצם יבנה הגוף בתחיית המתים, וזה יהיה לישראל דווקא שנאמר בהם "</w:t>
      </w:r>
      <w:r w:rsidRPr="00863CCE">
        <w:rPr>
          <w:rFonts w:ascii="Times New Roman" w:eastAsia="Times New Roman" w:hAnsi="Times New Roman" w:cs="David"/>
          <w:sz w:val="20"/>
          <w:szCs w:val="20"/>
          <w:rtl/>
          <w14:ligatures w14:val="none"/>
        </w:rPr>
        <w:t>וְאַתֶּם הַדְּבֵקִים בַּה' אֱלֹהֵיכֶם חַיִּים כֻּלְּכֶם הַיּוֹם</w:t>
      </w:r>
      <w:r w:rsidRPr="00863CCE">
        <w:rPr>
          <w:rFonts w:ascii="Keren" w:eastAsia="Times New Roman" w:hAnsi="Keren" w:cs="David"/>
          <w:szCs w:val="20"/>
          <w:rtl/>
          <w:lang w:eastAsia="he-IL"/>
          <w14:ligatures w14:val="none"/>
        </w:rPr>
        <w:t>" (בן איש חי פרשת וישלח שנה שנייה הלכה כז).</w:t>
      </w:r>
    </w:p>
    <w:p w:rsidR="00950342" w:rsidRPr="00863CCE" w:rsidRDefault="00950342"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אמרו רבותינו ז"ל שיש באדם עצם ששמו לוז ואינו שולט בו מיתה, ומשם מתהוה האדם תחיית המתים. שכל העצמות נרקבות חוץ מעצם זה. ובזה פירשו הזקנים פסוק "</w:t>
      </w:r>
      <w:r w:rsidRPr="00863CCE">
        <w:rPr>
          <w:rFonts w:ascii="Times New Roman" w:eastAsia="Times New Roman" w:hAnsi="Times New Roman" w:cs="David"/>
          <w:sz w:val="20"/>
          <w:szCs w:val="20"/>
          <w:rtl/>
          <w14:ligatures w14:val="none"/>
        </w:rPr>
        <w:t>שֹׁמֵר כָּל עַצְמוֹתָיו אַחַת מֵהֵנָּה לֹא נִשְׁבָּרָה</w:t>
      </w:r>
      <w:r w:rsidRPr="00863CCE">
        <w:rPr>
          <w:rFonts w:ascii="Keren" w:eastAsia="Times New Roman" w:hAnsi="Keren" w:cs="David"/>
          <w:szCs w:val="20"/>
          <w:rtl/>
          <w:lang w:eastAsia="he-IL"/>
          <w14:ligatures w14:val="none"/>
        </w:rPr>
        <w:t>" (תהלים לד, כא), שהקדוש ברוך הוא שומר כל עצמותיו לתחיית המתים גם מפי אריות, מה"</w:t>
      </w:r>
      <w:r w:rsidRPr="00863CCE">
        <w:rPr>
          <w:rFonts w:ascii="Times New Roman" w:eastAsia="Times New Roman" w:hAnsi="Times New Roman" w:cs="David"/>
          <w:sz w:val="20"/>
          <w:szCs w:val="20"/>
          <w:rtl/>
          <w14:ligatures w14:val="none"/>
        </w:rPr>
        <w:t>אַחַת מֵהֵנָּה</w:t>
      </w:r>
      <w:r w:rsidRPr="00863CCE">
        <w:rPr>
          <w:rFonts w:ascii="Keren" w:eastAsia="Times New Roman" w:hAnsi="Keren" w:cs="David"/>
          <w:szCs w:val="20"/>
          <w:rtl/>
          <w:lang w:eastAsia="he-IL"/>
          <w14:ligatures w14:val="none"/>
        </w:rPr>
        <w:t>" - שהיא עצם הלוז - "</w:t>
      </w:r>
      <w:r w:rsidRPr="00863CCE">
        <w:rPr>
          <w:rFonts w:ascii="Times New Roman" w:eastAsia="Times New Roman" w:hAnsi="Times New Roman" w:cs="David"/>
          <w:sz w:val="20"/>
          <w:szCs w:val="20"/>
          <w:rtl/>
          <w14:ligatures w14:val="none"/>
        </w:rPr>
        <w:t>לֹא נִשְׁבָּרָה</w:t>
      </w:r>
      <w:r w:rsidRPr="00863CCE">
        <w:rPr>
          <w:rFonts w:ascii="Keren" w:eastAsia="Times New Roman" w:hAnsi="Keren" w:cs="David"/>
          <w:szCs w:val="20"/>
          <w:rtl/>
          <w:lang w:eastAsia="he-IL"/>
          <w14:ligatures w14:val="none"/>
        </w:rPr>
        <w:t>" לעולם, עומדת וקיימת; ומשם יתהוו של עצמותיו… .</w:t>
      </w:r>
    </w:p>
    <w:p w:rsidR="00D5072B" w:rsidRDefault="00950342">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"אישים:אדם הראשון"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והטעם שאינו שולט מיתה בעצם זה הנקרא לוז, בעבור שלא נהנית מאכילת הפרי שאכל אדם הראשון. לפי שכל האברים נהנים ממה שאוכל האדם כל ששת ימי השבוע, חוץ מזו שאינה נהנית כי אם ממה שאוכל האדם במוצאי שבת. ואדם הראשון אכל מהעץ ביום שישי ונמצא שעצם זו לא נהנית מהפרי, לכך אינו שולט בו מיתה (מנחם אבלים אות ת' ערך תחיית המתים).</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הבלא דגרמי. תחיית המתים.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42"/>
    <w:rsid w:val="000D0A23"/>
    <w:rsid w:val="002C1211"/>
    <w:rsid w:val="005C4B14"/>
    <w:rsid w:val="00950342"/>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CE5E3-BFFD-46FA-A14A-498822FD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0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0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03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03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03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03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03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03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03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5034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5034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5034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50342"/>
    <w:rPr>
      <w:rFonts w:eastAsiaTheme="majorEastAsia" w:cstheme="majorBidi"/>
      <w:i/>
      <w:iCs/>
      <w:color w:val="0F4761" w:themeColor="accent1" w:themeShade="BF"/>
    </w:rPr>
  </w:style>
  <w:style w:type="character" w:customStyle="1" w:styleId="50">
    <w:name w:val="כותרת 5 תו"/>
    <w:basedOn w:val="a0"/>
    <w:link w:val="5"/>
    <w:uiPriority w:val="9"/>
    <w:semiHidden/>
    <w:rsid w:val="00950342"/>
    <w:rPr>
      <w:rFonts w:eastAsiaTheme="majorEastAsia" w:cstheme="majorBidi"/>
      <w:color w:val="0F4761" w:themeColor="accent1" w:themeShade="BF"/>
    </w:rPr>
  </w:style>
  <w:style w:type="character" w:customStyle="1" w:styleId="60">
    <w:name w:val="כותרת 6 תו"/>
    <w:basedOn w:val="a0"/>
    <w:link w:val="6"/>
    <w:uiPriority w:val="9"/>
    <w:semiHidden/>
    <w:rsid w:val="00950342"/>
    <w:rPr>
      <w:rFonts w:eastAsiaTheme="majorEastAsia" w:cstheme="majorBidi"/>
      <w:i/>
      <w:iCs/>
      <w:color w:val="595959" w:themeColor="text1" w:themeTint="A6"/>
    </w:rPr>
  </w:style>
  <w:style w:type="character" w:customStyle="1" w:styleId="70">
    <w:name w:val="כותרת 7 תו"/>
    <w:basedOn w:val="a0"/>
    <w:link w:val="7"/>
    <w:uiPriority w:val="9"/>
    <w:semiHidden/>
    <w:rsid w:val="00950342"/>
    <w:rPr>
      <w:rFonts w:eastAsiaTheme="majorEastAsia" w:cstheme="majorBidi"/>
      <w:color w:val="595959" w:themeColor="text1" w:themeTint="A6"/>
    </w:rPr>
  </w:style>
  <w:style w:type="character" w:customStyle="1" w:styleId="80">
    <w:name w:val="כותרת 8 תו"/>
    <w:basedOn w:val="a0"/>
    <w:link w:val="8"/>
    <w:uiPriority w:val="9"/>
    <w:semiHidden/>
    <w:rsid w:val="00950342"/>
    <w:rPr>
      <w:rFonts w:eastAsiaTheme="majorEastAsia" w:cstheme="majorBidi"/>
      <w:i/>
      <w:iCs/>
      <w:color w:val="272727" w:themeColor="text1" w:themeTint="D8"/>
    </w:rPr>
  </w:style>
  <w:style w:type="character" w:customStyle="1" w:styleId="90">
    <w:name w:val="כותרת 9 תו"/>
    <w:basedOn w:val="a0"/>
    <w:link w:val="9"/>
    <w:uiPriority w:val="9"/>
    <w:semiHidden/>
    <w:rsid w:val="00950342"/>
    <w:rPr>
      <w:rFonts w:eastAsiaTheme="majorEastAsia" w:cstheme="majorBidi"/>
      <w:color w:val="272727" w:themeColor="text1" w:themeTint="D8"/>
    </w:rPr>
  </w:style>
  <w:style w:type="paragraph" w:styleId="a3">
    <w:name w:val="Title"/>
    <w:basedOn w:val="a"/>
    <w:next w:val="a"/>
    <w:link w:val="a4"/>
    <w:uiPriority w:val="10"/>
    <w:qFormat/>
    <w:rsid w:val="0095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503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034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5034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50342"/>
    <w:pPr>
      <w:spacing w:before="160"/>
      <w:jc w:val="center"/>
    </w:pPr>
    <w:rPr>
      <w:i/>
      <w:iCs/>
      <w:color w:val="404040" w:themeColor="text1" w:themeTint="BF"/>
    </w:rPr>
  </w:style>
  <w:style w:type="character" w:customStyle="1" w:styleId="a8">
    <w:name w:val="ציטוט תו"/>
    <w:basedOn w:val="a0"/>
    <w:link w:val="a7"/>
    <w:uiPriority w:val="29"/>
    <w:rsid w:val="00950342"/>
    <w:rPr>
      <w:i/>
      <w:iCs/>
      <w:color w:val="404040" w:themeColor="text1" w:themeTint="BF"/>
    </w:rPr>
  </w:style>
  <w:style w:type="paragraph" w:styleId="a9">
    <w:name w:val="List Paragraph"/>
    <w:basedOn w:val="a"/>
    <w:uiPriority w:val="34"/>
    <w:qFormat/>
    <w:rsid w:val="00950342"/>
    <w:pPr>
      <w:ind w:left="720"/>
      <w:contextualSpacing/>
    </w:pPr>
  </w:style>
  <w:style w:type="character" w:styleId="aa">
    <w:name w:val="Intense Emphasis"/>
    <w:basedOn w:val="a0"/>
    <w:uiPriority w:val="21"/>
    <w:qFormat/>
    <w:rsid w:val="00950342"/>
    <w:rPr>
      <w:i/>
      <w:iCs/>
      <w:color w:val="0F4761" w:themeColor="accent1" w:themeShade="BF"/>
    </w:rPr>
  </w:style>
  <w:style w:type="paragraph" w:styleId="ab">
    <w:name w:val="Intense Quote"/>
    <w:basedOn w:val="a"/>
    <w:next w:val="a"/>
    <w:link w:val="ac"/>
    <w:uiPriority w:val="30"/>
    <w:qFormat/>
    <w:rsid w:val="00950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50342"/>
    <w:rPr>
      <w:i/>
      <w:iCs/>
      <w:color w:val="0F4761" w:themeColor="accent1" w:themeShade="BF"/>
    </w:rPr>
  </w:style>
  <w:style w:type="character" w:styleId="ad">
    <w:name w:val="Intense Reference"/>
    <w:basedOn w:val="a0"/>
    <w:uiPriority w:val="32"/>
    <w:qFormat/>
    <w:rsid w:val="00950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1635</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