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50849" w:rsidRPr="00863CCE" w:rsidRDefault="00B50849"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53"/>
      <w:r w:rsidRPr="00863CCE">
        <w:rPr>
          <w:rFonts w:ascii="Keren" w:eastAsia="Times New Roman" w:hAnsi="Keren" w:cs="David"/>
          <w:b/>
          <w:bCs/>
          <w:sz w:val="26"/>
          <w:szCs w:val="24"/>
          <w:rtl/>
          <w:lang w:eastAsia="he-IL"/>
          <w14:ligatures w14:val="none"/>
        </w:rPr>
        <w:t>לך בשלום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"לך בשלום:ערך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B50849" w:rsidRPr="00863CCE" w:rsidRDefault="00B50849" w:rsidP="00863CCE">
      <w:pPr>
        <w:spacing w:after="0" w:line="360" w:lineRule="auto"/>
        <w:ind w:left="612"/>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אמר רבי רבין הלוי:</w:t>
      </w:r>
      <w:r w:rsidRPr="00863CCE">
        <w:rPr>
          <w:rFonts w:ascii="Keren" w:eastAsia="Times New Roman" w:hAnsi="Keren" w:cs="David"/>
          <w:sz w:val="20"/>
          <w:szCs w:val="20"/>
          <w:rtl/>
          <w:lang w:eastAsia="he-IL"/>
          <w14:ligatures w14:val="none"/>
        </w:rPr>
        <w:t xml:space="preserve"> </w:t>
      </w:r>
      <w:r w:rsidRPr="00863CCE">
        <w:rPr>
          <w:rFonts w:ascii="Keren" w:eastAsia="Times New Roman" w:hAnsi="Keren" w:cs="David"/>
          <w:szCs w:val="20"/>
          <w:rtl/>
          <w:lang w:eastAsia="he-IL"/>
          <w14:ligatures w14:val="none"/>
        </w:rPr>
        <w:t>הנפטר מחברו (החי), אל יאמר לו 'לך בשלום' אלא 'לך לשלום'. שהרי יתרו אמר לו למשה 'לך לשלום', עלה והצליח. דוד שאמר לו לאבשלום 'לך בשלום', הלך ונתלה. ואמר רבי רבין הלוי: הנפטר מן המת אל יאמר לו 'לך לשלום' אלא 'לך בשלום'. שנאמר (לאברהם אבינו, בראשית טו, טו) "</w:t>
      </w:r>
      <w:r w:rsidRPr="00863CCE">
        <w:rPr>
          <w:rFonts w:ascii="Keren" w:eastAsia="Times New Roman" w:hAnsi="Keren" w:cs="David"/>
          <w:sz w:val="20"/>
          <w:szCs w:val="20"/>
          <w:rtl/>
          <w:lang w:eastAsia="he-IL"/>
          <w14:ligatures w14:val="none"/>
        </w:rPr>
        <w:t>וְאַתָּה תָּבוֹא אֶל אֲבֹתֶיךָ בְּשָׁלוֹם</w:t>
      </w:r>
      <w:r w:rsidRPr="00863CCE">
        <w:rPr>
          <w:rFonts w:ascii="Keren" w:eastAsia="Times New Roman" w:hAnsi="Keren" w:cs="David"/>
          <w:szCs w:val="20"/>
          <w:rtl/>
          <w:lang w:eastAsia="he-IL"/>
          <w14:ligatures w14:val="none"/>
        </w:rPr>
        <w:t xml:space="preserve">" (ברכות סד, א). כך גם נפסק להלכה (רמב"ם הלכות אבל ד, ד; מגן אברהם סימן קי, ט). </w:t>
      </w:r>
    </w:p>
    <w:p w:rsidR="00B50849" w:rsidRPr="00863CCE" w:rsidRDefault="00B50849" w:rsidP="00863CCE">
      <w:pPr>
        <w:spacing w:after="0" w:line="360" w:lineRule="auto"/>
        <w:ind w:left="26"/>
        <w:jc w:val="both"/>
        <w:rPr>
          <w:rFonts w:ascii="Times New Roman" w:eastAsia="Times New Roman" w:hAnsi="Times New Roman" w:cs="Times New Roman"/>
          <w:sz w:val="20"/>
          <w:szCs w:val="24"/>
          <w:rtl/>
          <w:lang w:eastAsia="he-IL"/>
          <w14:ligatures w14:val="none"/>
        </w:rPr>
      </w:pPr>
      <w:r w:rsidRPr="00863CCE">
        <w:rPr>
          <w:rFonts w:ascii="Keren" w:eastAsia="Times New Roman" w:hAnsi="Keren" w:cs="David"/>
          <w:szCs w:val="20"/>
          <w:rtl/>
          <w:lang w:eastAsia="he-IL"/>
          <w14:ligatures w14:val="none"/>
        </w:rPr>
        <w:t xml:space="preserve">במדרש מובאת התייחסות לקשר בין השלום והנפטרים (ילקוט שמעוני פרשת נשא רמז תשי"א, וכעין זה גם בגמרא שבת קנב, ב): </w:t>
      </w:r>
    </w:p>
    <w:p w:rsidR="00B50849" w:rsidRPr="00863CCE" w:rsidRDefault="00B50849" w:rsidP="00863CCE">
      <w:pPr>
        <w:autoSpaceDE w:val="0"/>
        <w:autoSpaceDN w:val="0"/>
        <w:adjustRightInd w:val="0"/>
        <w:spacing w:after="0" w:line="360" w:lineRule="auto"/>
        <w:ind w:left="612"/>
        <w:jc w:val="both"/>
        <w:rPr>
          <w:rFonts w:ascii="Keren" w:eastAsia="Times New Roman" w:hAnsi="Keren" w:cs="David"/>
          <w:sz w:val="20"/>
          <w:szCs w:val="20"/>
          <w:lang w:eastAsia="he-IL"/>
          <w14:ligatures w14:val="none"/>
        </w:rPr>
      </w:pPr>
      <w:r w:rsidRPr="00863CCE">
        <w:rPr>
          <w:rFonts w:ascii="Times New Roman" w:eastAsia="Times New Roman" w:hAnsi="Times New Roman" w:cs="David"/>
          <w:color w:val="000000"/>
          <w:szCs w:val="20"/>
          <w:rtl/>
          <w:lang w:eastAsia="he-IL"/>
          <w14:ligatures w14:val="none"/>
        </w:rPr>
        <w:t>גדול השלום שניתן לצדיקים שבשעה שהן נפטרין מן העולם שלוש כתות של מלאכי שלום מקדימין אותן, הראשונה אומרת "</w:t>
      </w:r>
      <w:r w:rsidRPr="00863CCE">
        <w:rPr>
          <w:rFonts w:ascii="Keren" w:eastAsia="Times New Roman" w:hAnsi="Keren" w:cs="David"/>
          <w:sz w:val="20"/>
          <w:szCs w:val="20"/>
          <w:rtl/>
          <w:lang w:eastAsia="he-IL"/>
          <w14:ligatures w14:val="none"/>
        </w:rPr>
        <w:t>יָבוֹא שָׁלוֹם</w:t>
      </w:r>
      <w:r w:rsidRPr="00863CCE">
        <w:rPr>
          <w:rFonts w:ascii="Times New Roman" w:eastAsia="Times New Roman" w:hAnsi="Times New Roman" w:cs="David"/>
          <w:color w:val="000000"/>
          <w:szCs w:val="20"/>
          <w:rtl/>
          <w:lang w:eastAsia="he-IL"/>
          <w14:ligatures w14:val="none"/>
        </w:rPr>
        <w:t>", השנייה אומרת "</w:t>
      </w:r>
      <w:r w:rsidRPr="00863CCE">
        <w:rPr>
          <w:rFonts w:ascii="Keren" w:eastAsia="Times New Roman" w:hAnsi="Keren" w:cs="David"/>
          <w:sz w:val="20"/>
          <w:szCs w:val="20"/>
          <w:rtl/>
          <w:lang w:eastAsia="he-IL"/>
          <w14:ligatures w14:val="none"/>
        </w:rPr>
        <w:t>יָנוּחוּ עַל מִשְׁכְּבוֹתָם</w:t>
      </w:r>
      <w:r w:rsidRPr="00863CCE">
        <w:rPr>
          <w:rFonts w:ascii="Times New Roman" w:eastAsia="Times New Roman" w:hAnsi="Times New Roman" w:cs="David"/>
          <w:color w:val="000000"/>
          <w:szCs w:val="20"/>
          <w:rtl/>
          <w:lang w:eastAsia="he-IL"/>
          <w14:ligatures w14:val="none"/>
        </w:rPr>
        <w:t>", והשלישית אומרת "</w:t>
      </w:r>
      <w:r w:rsidRPr="00863CCE">
        <w:rPr>
          <w:rFonts w:ascii="Keren" w:eastAsia="Times New Roman" w:hAnsi="Keren" w:cs="David"/>
          <w:sz w:val="20"/>
          <w:szCs w:val="20"/>
          <w:rtl/>
          <w:lang w:eastAsia="he-IL"/>
          <w14:ligatures w14:val="none"/>
        </w:rPr>
        <w:t>הֹלֵךְ נְכֹחוֹ</w:t>
      </w:r>
      <w:r w:rsidRPr="00863CCE">
        <w:rPr>
          <w:rFonts w:ascii="Times New Roman" w:eastAsia="Times New Roman" w:hAnsi="Times New Roman" w:cs="David"/>
          <w:color w:val="000000"/>
          <w:szCs w:val="20"/>
          <w:rtl/>
          <w:lang w:eastAsia="he-IL"/>
          <w14:ligatures w14:val="none"/>
        </w:rPr>
        <w:t xml:space="preserve">" (ישעיהו נז, ב), ולא דיין לצדיקים (אלא) שמיתתן ביד כבוד שנאמר </w:t>
      </w:r>
      <w:r w:rsidRPr="00863CCE">
        <w:rPr>
          <w:rFonts w:ascii="Keren" w:eastAsia="Times New Roman" w:hAnsi="Keren" w:cs="David"/>
          <w:color w:val="000000"/>
          <w:sz w:val="20"/>
          <w:szCs w:val="20"/>
          <w:rtl/>
          <w:lang w:eastAsia="he-IL"/>
          <w14:ligatures w14:val="none"/>
        </w:rPr>
        <w:t>"וְהָלַךְ לְפָנֶיךָ צִדְקֶךָ כְּבוֹד ה' יַאַסְפֶךָ"</w:t>
      </w:r>
      <w:r w:rsidRPr="00863CCE">
        <w:rPr>
          <w:rFonts w:ascii="Times New Roman" w:eastAsia="Times New Roman" w:hAnsi="Times New Roman" w:cs="David"/>
          <w:color w:val="000000"/>
          <w:szCs w:val="20"/>
          <w:rtl/>
          <w:lang w:eastAsia="he-IL"/>
          <w14:ligatures w14:val="none"/>
        </w:rPr>
        <w:t xml:space="preserve"> (שם נח, ח), ולא עוד אלא שהן מקלסים לפניהם ואומרים </w:t>
      </w:r>
      <w:r w:rsidRPr="00863CCE">
        <w:rPr>
          <w:rFonts w:ascii="Keren" w:eastAsia="Times New Roman" w:hAnsi="Keren" w:cs="David"/>
          <w:sz w:val="20"/>
          <w:szCs w:val="20"/>
          <w:rtl/>
          <w:lang w:eastAsia="he-IL"/>
          <w14:ligatures w14:val="none"/>
        </w:rPr>
        <w:t>"יָבוֹא שָׁלוֹם יָנוּחוּ עַל מִשְׁכְּבוֹתָם הֹלֵךְ נְכֹחוֹ"</w:t>
      </w:r>
      <w:r w:rsidRPr="00863CCE">
        <w:rPr>
          <w:rFonts w:ascii="Times New Roman" w:eastAsia="Times New Roman" w:hAnsi="Times New Roman" w:cs="David"/>
          <w:color w:val="000000"/>
          <w:szCs w:val="20"/>
          <w:rtl/>
          <w:lang w:eastAsia="he-IL"/>
          <w14:ligatures w14:val="none"/>
        </w:rPr>
        <w:t>. גדול השלום שהוא נמנע מן הרשעים, שבשעה שהן מתים שלוש כתות של מלאכי חבלה מקדימין אותן. הראשונה אומרת "</w:t>
      </w:r>
      <w:r w:rsidRPr="00863CCE">
        <w:rPr>
          <w:rFonts w:ascii="Keren" w:eastAsia="Times New Roman" w:hAnsi="Keren" w:cs="David"/>
          <w:color w:val="000000"/>
          <w:sz w:val="20"/>
          <w:szCs w:val="20"/>
          <w:rtl/>
          <w:lang w:eastAsia="he-IL"/>
          <w14:ligatures w14:val="none"/>
        </w:rPr>
        <w:t>אֵין שָׁלוֹם",</w:t>
      </w:r>
      <w:r w:rsidRPr="00863CCE">
        <w:rPr>
          <w:rFonts w:ascii="Times New Roman" w:eastAsia="Times New Roman" w:hAnsi="Times New Roman" w:cs="David"/>
          <w:color w:val="000000"/>
          <w:szCs w:val="20"/>
          <w:rtl/>
          <w:lang w:eastAsia="he-IL"/>
          <w14:ligatures w14:val="none"/>
        </w:rPr>
        <w:t xml:space="preserve"> השנייה אומרת</w:t>
      </w:r>
      <w:r w:rsidRPr="00863CCE">
        <w:rPr>
          <w:rFonts w:ascii="Keren" w:eastAsia="Times New Roman" w:hAnsi="Keren" w:cs="David"/>
          <w:color w:val="000000"/>
          <w:sz w:val="20"/>
          <w:szCs w:val="20"/>
          <w:rtl/>
          <w:lang w:eastAsia="he-IL"/>
          <w14:ligatures w14:val="none"/>
        </w:rPr>
        <w:t xml:space="preserve"> "אָמַר אֱלֹהַי לָרְשָׁעִים"</w:t>
      </w:r>
      <w:r w:rsidRPr="00863CCE">
        <w:rPr>
          <w:rFonts w:ascii="Times New Roman" w:eastAsia="Times New Roman" w:hAnsi="Times New Roman" w:cs="David"/>
          <w:color w:val="000000"/>
          <w:szCs w:val="20"/>
          <w:rtl/>
          <w:lang w:eastAsia="he-IL"/>
          <w14:ligatures w14:val="none"/>
        </w:rPr>
        <w:t xml:space="preserve"> (שם נז, כא), השלישית אומרת "</w:t>
      </w:r>
      <w:r w:rsidRPr="00863CCE">
        <w:rPr>
          <w:rFonts w:ascii="Keren" w:eastAsia="Times New Roman" w:hAnsi="Keren" w:cs="David"/>
          <w:sz w:val="20"/>
          <w:szCs w:val="20"/>
          <w:rtl/>
          <w:lang w:eastAsia="he-IL"/>
          <w14:ligatures w14:val="none"/>
        </w:rPr>
        <w:t>לְמַעֲצֵבָה תִּשְׁכָּבוּן" (שם נ, יא)</w:t>
      </w:r>
      <w:r w:rsidRPr="00863CCE">
        <w:rPr>
          <w:rFonts w:ascii="Times New Roman" w:eastAsia="Times New Roman" w:hAnsi="Times New Roman" w:cs="David"/>
          <w:color w:val="000000"/>
          <w:szCs w:val="20"/>
          <w:rtl/>
          <w:lang w:eastAsia="he-IL"/>
          <w14:ligatures w14:val="none"/>
        </w:rPr>
        <w:t>, ולא דיין לרשעים אלא שמיתתן ביד מחבלים שנאמר</w:t>
      </w:r>
      <w:r w:rsidRPr="00863CCE">
        <w:rPr>
          <w:rFonts w:ascii="Keren" w:eastAsia="Times New Roman" w:hAnsi="Keren" w:cs="David"/>
          <w:sz w:val="20"/>
          <w:szCs w:val="20"/>
          <w:rtl/>
          <w:lang w:eastAsia="he-IL"/>
          <w14:ligatures w14:val="none"/>
        </w:rPr>
        <w:t xml:space="preserve"> "וַתִּקְרַב לַשַּׁחַת נַפְשׁוֹ וְחַיָּתוֹ לַמְמִתִים" (איוב לג, כב)</w:t>
      </w:r>
      <w:r w:rsidRPr="00863CCE">
        <w:rPr>
          <w:rFonts w:ascii="Times New Roman" w:eastAsia="Times New Roman" w:hAnsi="Times New Roman" w:cs="David"/>
          <w:color w:val="000000"/>
          <w:szCs w:val="20"/>
          <w:rtl/>
          <w:lang w:eastAsia="he-IL"/>
          <w14:ligatures w14:val="none"/>
        </w:rPr>
        <w:t xml:space="preserve">, </w:t>
      </w:r>
      <w:r w:rsidRPr="00863CCE">
        <w:rPr>
          <w:rFonts w:ascii="Keren" w:eastAsia="Times New Roman" w:hAnsi="Keren" w:cs="David"/>
          <w:sz w:val="20"/>
          <w:szCs w:val="20"/>
          <w:rtl/>
          <w:lang w:eastAsia="he-IL"/>
          <w14:ligatures w14:val="none"/>
        </w:rPr>
        <w:t>"יֶהְדְּפֻהוּ מֵאוֹר אֶל חֹשֶׁךְ וּמִתֵּבֵל יְנִדֻּהוּ</w:t>
      </w:r>
      <w:r w:rsidRPr="00863CCE">
        <w:rPr>
          <w:rFonts w:ascii="Times New Roman" w:eastAsia="Times New Roman" w:hAnsi="Times New Roman" w:cs="David"/>
          <w:color w:val="000000"/>
          <w:szCs w:val="20"/>
          <w:rtl/>
          <w:lang w:eastAsia="he-IL"/>
          <w14:ligatures w14:val="none"/>
        </w:rPr>
        <w:t xml:space="preserve">" (שם יח, יח), </w:t>
      </w:r>
      <w:r w:rsidRPr="00863CCE">
        <w:rPr>
          <w:rFonts w:ascii="Keren" w:eastAsia="Times New Roman" w:hAnsi="Keren" w:cs="David"/>
          <w:sz w:val="20"/>
          <w:szCs w:val="20"/>
          <w:rtl/>
          <w:lang w:eastAsia="he-IL"/>
          <w14:ligatures w14:val="none"/>
        </w:rPr>
        <w:t>"יִהְיוּ כְּמֹץ לִפְנֵי רוּחַ וּמַלְאַךְ ה' דּוֹחֶה" (תהלים לה, ה)</w:t>
      </w:r>
      <w:r w:rsidRPr="00863CCE">
        <w:rPr>
          <w:rFonts w:ascii="Times New Roman" w:eastAsia="Times New Roman" w:hAnsi="Times New Roman" w:cs="David"/>
          <w:color w:val="000000"/>
          <w:szCs w:val="20"/>
          <w:rtl/>
          <w:lang w:eastAsia="he-IL"/>
          <w14:ligatures w14:val="none"/>
        </w:rPr>
        <w:t xml:space="preserve">, ולא עוד אלא שהם מתקנטרין לפניהם, ואומר </w:t>
      </w:r>
      <w:r w:rsidRPr="00863CCE">
        <w:rPr>
          <w:rFonts w:ascii="Keren" w:eastAsia="Times New Roman" w:hAnsi="Keren" w:cs="David"/>
          <w:color w:val="000000"/>
          <w:sz w:val="20"/>
          <w:szCs w:val="20"/>
          <w:rtl/>
          <w:lang w:eastAsia="he-IL"/>
          <w14:ligatures w14:val="none"/>
        </w:rPr>
        <w:t xml:space="preserve">"אֵין שָׁלוֹם אָמַר אֱלֹהַי לָרְשָׁעִים", </w:t>
      </w:r>
      <w:r w:rsidRPr="00863CCE">
        <w:rPr>
          <w:rFonts w:ascii="Keren" w:eastAsia="Times New Roman" w:hAnsi="Keren" w:cs="David"/>
          <w:sz w:val="20"/>
          <w:szCs w:val="20"/>
          <w:rtl/>
          <w:lang w:eastAsia="he-IL"/>
          <w14:ligatures w14:val="none"/>
        </w:rPr>
        <w:t>"לְמַעֲצֵבָה תִּשְׁכָּבוּן</w:t>
      </w:r>
      <w:r w:rsidRPr="00863CCE">
        <w:rPr>
          <w:rFonts w:ascii="Times New Roman" w:eastAsia="Times New Roman" w:hAnsi="Times New Roman" w:cs="David"/>
          <w:color w:val="000000"/>
          <w:szCs w:val="20"/>
          <w:rtl/>
          <w:lang w:eastAsia="he-IL"/>
          <w14:ligatures w14:val="none"/>
        </w:rPr>
        <w:t>".</w:t>
      </w:r>
    </w:p>
    <w:p w:rsidR="00B50849" w:rsidRPr="00863CCE" w:rsidRDefault="00B50849" w:rsidP="00863CCE">
      <w:pPr>
        <w:spacing w:after="0" w:line="360" w:lineRule="auto"/>
        <w:ind w:left="26" w:right="180"/>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בטעם הדבר כתב המהר"ל (נתיבות עולם נתיב השלום פרק א):</w:t>
      </w:r>
    </w:p>
    <w:p w:rsidR="00B50849" w:rsidRPr="00863CCE" w:rsidRDefault="00B50849" w:rsidP="00863CCE">
      <w:pPr>
        <w:tabs>
          <w:tab w:val="left" w:pos="566"/>
          <w:tab w:val="left" w:pos="8892"/>
        </w:tabs>
        <w:spacing w:after="0" w:line="360" w:lineRule="auto"/>
        <w:ind w:left="566"/>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וכן ניתן השלום לצדיקים כאשר נפטרים מן העולם, כי כאשר נפטרים מן העולם הרי זה נחשב שהגיעו אל ההשלמה. כי החי אי אפשר שיבא אל ההשלמה הגמורה, כי תמיד אפשר שיקבל השלמה על ההשלמה. לפיכך אמרו בסוף ברכות: הנפטר מן החי אל יאמר 'לך בשלום', כי היה משמע שילך בהשלמה שכבר קנה השלמתו, והחי אפשר תמיד שיקבל השלמה. רק יאמר 'לך לשלום', כלומר שיהיה מתחבר אל השלום ותמיד יוסיף שלום. אבל הנפטר מן המת יאמר 'לך בשלום', כי כבר הגיע אל שלמותו האחרון, ושייך לומר בזה 'לך בשלום' כאשר כבר הושלם, וזה אינו קונה השלמה. לפיכך אמר שהשלום ניתן לצדיקים כאשר נפטרים מן העולם ניתן להם השלום, על שם שהגיעו אל ההשלמה.</w:t>
      </w:r>
    </w:p>
    <w:p w:rsidR="00D5072B" w:rsidRDefault="00B50849">
      <w:r w:rsidRPr="00863CCE">
        <w:rPr>
          <w:rFonts w:ascii="Keren" w:eastAsia="Times New Roman" w:hAnsi="Keren" w:cs="David"/>
          <w:szCs w:val="20"/>
          <w:rtl/>
          <w:lang w:eastAsia="he-IL"/>
          <w14:ligatures w14:val="none"/>
        </w:rPr>
        <w:t xml:space="preserve">ע"ע </w:t>
      </w:r>
      <w:r w:rsidRPr="00863CCE">
        <w:rPr>
          <w:rFonts w:ascii="Keren" w:eastAsia="Times New Roman" w:hAnsi="Keren" w:cs="David"/>
          <w:b/>
          <w:bCs/>
          <w:szCs w:val="20"/>
          <w:rtl/>
          <w:lang w:eastAsia="he-IL"/>
          <w14:ligatures w14:val="none"/>
        </w:rPr>
        <w:t>עליו השלום.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849"/>
    <w:rsid w:val="000D0A23"/>
    <w:rsid w:val="002C1211"/>
    <w:rsid w:val="005C4B14"/>
    <w:rsid w:val="00AA7185"/>
    <w:rsid w:val="00B22A00"/>
    <w:rsid w:val="00B50849"/>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49D19F-B3F0-4C5E-BC86-E16FA80C2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0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0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084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084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084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08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08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08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08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5084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5084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5084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50849"/>
    <w:rPr>
      <w:rFonts w:eastAsiaTheme="majorEastAsia" w:cstheme="majorBidi"/>
      <w:i/>
      <w:iCs/>
      <w:color w:val="0F4761" w:themeColor="accent1" w:themeShade="BF"/>
    </w:rPr>
  </w:style>
  <w:style w:type="character" w:customStyle="1" w:styleId="50">
    <w:name w:val="כותרת 5 תו"/>
    <w:basedOn w:val="a0"/>
    <w:link w:val="5"/>
    <w:uiPriority w:val="9"/>
    <w:semiHidden/>
    <w:rsid w:val="00B50849"/>
    <w:rPr>
      <w:rFonts w:eastAsiaTheme="majorEastAsia" w:cstheme="majorBidi"/>
      <w:color w:val="0F4761" w:themeColor="accent1" w:themeShade="BF"/>
    </w:rPr>
  </w:style>
  <w:style w:type="character" w:customStyle="1" w:styleId="60">
    <w:name w:val="כותרת 6 תו"/>
    <w:basedOn w:val="a0"/>
    <w:link w:val="6"/>
    <w:uiPriority w:val="9"/>
    <w:semiHidden/>
    <w:rsid w:val="00B50849"/>
    <w:rPr>
      <w:rFonts w:eastAsiaTheme="majorEastAsia" w:cstheme="majorBidi"/>
      <w:i/>
      <w:iCs/>
      <w:color w:val="595959" w:themeColor="text1" w:themeTint="A6"/>
    </w:rPr>
  </w:style>
  <w:style w:type="character" w:customStyle="1" w:styleId="70">
    <w:name w:val="כותרת 7 תו"/>
    <w:basedOn w:val="a0"/>
    <w:link w:val="7"/>
    <w:uiPriority w:val="9"/>
    <w:semiHidden/>
    <w:rsid w:val="00B50849"/>
    <w:rPr>
      <w:rFonts w:eastAsiaTheme="majorEastAsia" w:cstheme="majorBidi"/>
      <w:color w:val="595959" w:themeColor="text1" w:themeTint="A6"/>
    </w:rPr>
  </w:style>
  <w:style w:type="character" w:customStyle="1" w:styleId="80">
    <w:name w:val="כותרת 8 תו"/>
    <w:basedOn w:val="a0"/>
    <w:link w:val="8"/>
    <w:uiPriority w:val="9"/>
    <w:semiHidden/>
    <w:rsid w:val="00B50849"/>
    <w:rPr>
      <w:rFonts w:eastAsiaTheme="majorEastAsia" w:cstheme="majorBidi"/>
      <w:i/>
      <w:iCs/>
      <w:color w:val="272727" w:themeColor="text1" w:themeTint="D8"/>
    </w:rPr>
  </w:style>
  <w:style w:type="character" w:customStyle="1" w:styleId="90">
    <w:name w:val="כותרת 9 תו"/>
    <w:basedOn w:val="a0"/>
    <w:link w:val="9"/>
    <w:uiPriority w:val="9"/>
    <w:semiHidden/>
    <w:rsid w:val="00B50849"/>
    <w:rPr>
      <w:rFonts w:eastAsiaTheme="majorEastAsia" w:cstheme="majorBidi"/>
      <w:color w:val="272727" w:themeColor="text1" w:themeTint="D8"/>
    </w:rPr>
  </w:style>
  <w:style w:type="paragraph" w:styleId="a3">
    <w:name w:val="Title"/>
    <w:basedOn w:val="a"/>
    <w:next w:val="a"/>
    <w:link w:val="a4"/>
    <w:uiPriority w:val="10"/>
    <w:qFormat/>
    <w:rsid w:val="00B5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508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084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5084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0849"/>
    <w:pPr>
      <w:spacing w:before="160"/>
      <w:jc w:val="center"/>
    </w:pPr>
    <w:rPr>
      <w:i/>
      <w:iCs/>
      <w:color w:val="404040" w:themeColor="text1" w:themeTint="BF"/>
    </w:rPr>
  </w:style>
  <w:style w:type="character" w:customStyle="1" w:styleId="a8">
    <w:name w:val="ציטוט תו"/>
    <w:basedOn w:val="a0"/>
    <w:link w:val="a7"/>
    <w:uiPriority w:val="29"/>
    <w:rsid w:val="00B50849"/>
    <w:rPr>
      <w:i/>
      <w:iCs/>
      <w:color w:val="404040" w:themeColor="text1" w:themeTint="BF"/>
    </w:rPr>
  </w:style>
  <w:style w:type="paragraph" w:styleId="a9">
    <w:name w:val="List Paragraph"/>
    <w:basedOn w:val="a"/>
    <w:uiPriority w:val="34"/>
    <w:qFormat/>
    <w:rsid w:val="00B50849"/>
    <w:pPr>
      <w:ind w:left="720"/>
      <w:contextualSpacing/>
    </w:pPr>
  </w:style>
  <w:style w:type="character" w:styleId="aa">
    <w:name w:val="Intense Emphasis"/>
    <w:basedOn w:val="a0"/>
    <w:uiPriority w:val="21"/>
    <w:qFormat/>
    <w:rsid w:val="00B50849"/>
    <w:rPr>
      <w:i/>
      <w:iCs/>
      <w:color w:val="0F4761" w:themeColor="accent1" w:themeShade="BF"/>
    </w:rPr>
  </w:style>
  <w:style w:type="paragraph" w:styleId="ab">
    <w:name w:val="Intense Quote"/>
    <w:basedOn w:val="a"/>
    <w:next w:val="a"/>
    <w:link w:val="ac"/>
    <w:uiPriority w:val="30"/>
    <w:qFormat/>
    <w:rsid w:val="00B50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50849"/>
    <w:rPr>
      <w:i/>
      <w:iCs/>
      <w:color w:val="0F4761" w:themeColor="accent1" w:themeShade="BF"/>
    </w:rPr>
  </w:style>
  <w:style w:type="character" w:styleId="ad">
    <w:name w:val="Intense Reference"/>
    <w:basedOn w:val="a0"/>
    <w:uiPriority w:val="32"/>
    <w:qFormat/>
    <w:rsid w:val="00B50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1840</Characters>
  <Application>Microsoft Office Word</Application>
  <DocSecurity>0</DocSecurity>
  <Lines>15</Lines>
  <Paragraphs>4</Paragraphs>
  <ScaleCrop>false</ScaleCrop>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2025-12-04T23:12:00Z</dcterms:created>
  <dcterms:modified xsi:type="dcterms:W3CDTF">2025-12-04T23:12:00Z</dcterms:modified>
</cp:coreProperties>
</file>