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4AB" w:rsidRPr="00863CCE" w:rsidRDefault="006024AB" w:rsidP="00863CCE">
      <w:pPr>
        <w:spacing w:after="0" w:line="360" w:lineRule="auto"/>
        <w:jc w:val="both"/>
        <w:outlineLvl w:val="6"/>
        <w:rPr>
          <w:rFonts w:ascii="Keren" w:eastAsia="Times New Roman" w:hAnsi="Keren" w:cs="David"/>
          <w:b/>
          <w:bCs/>
          <w:szCs w:val="20"/>
          <w:rtl/>
          <w:lang w:eastAsia="he-IL"/>
          <w14:ligatures w14:val="none"/>
        </w:rPr>
      </w:pPr>
      <w:bookmarkStart w:id="0" w:name="_Toc88530354"/>
      <w:r w:rsidRPr="00863CCE">
        <w:rPr>
          <w:rFonts w:ascii="Keren" w:eastAsia="Times New Roman" w:hAnsi="Keren" w:cs="David"/>
          <w:b/>
          <w:bCs/>
          <w:sz w:val="26"/>
          <w:szCs w:val="24"/>
          <w:rtl/>
          <w:lang w:eastAsia="he-IL"/>
          <w14:ligatures w14:val="none"/>
        </w:rPr>
        <w:t>מאבד עצמו לדעת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"מאבד עצמו לדעת:ערך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ההלכה היהודית התייחסה בחומרה רבה למאבד עצמו לדעת. ההשקפה היהודית גורסת, שכיון שאין הנשמה של האדם עצמו, אלא של ריבונו של עולם שנתנה בקרבו, הרי שאין רשות לאדם לנתק את הקשר בין הגוף לבין הנשמה. כך לגבי אדם אחר – איסור לא תרצח, וכך גם לגבי האדם עצמו. לכן המאבד עצמו לדעת מוגדר כרוצח לכל דבר. </w:t>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מבחינה הלכתית רעיונית, גדול עון הרוצח עצמו יותר מאשר רוצח נפש אחרת. המאבד עצמו לדעת מדגיש במעשהו את הכפירה בריבונו של עולם שנתן לו את נשמתו, ושרק לו יש את הרשות ליטלה מהאדם. האדם השולח יד בנפשו, כביכול לוקח מריבונו של עולם את האדנות על הנשמה שנתן בקרבו, ומכחיש את הידיעה הפשוטה שהוא – האדם - לא היה שותף כלל ביצירה שלו עצמו. </w:t>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"כפרה:עצם המיתה"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מלבד זאת, המות נחשב לכפרה על האדם החוטא. ובמקרה של המאבד עצמו לדעת, לא רק שהמיתה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מכפרת"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אינה מכפרת על האדם, אלא אדרבה – היא המרשיעתו בעבירה החמורה של רצח.</w:t>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מלבד זאת, המאבד עצמו לדעת כופר בהישארות הנפש</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הישארות הנפש:</w:instrText>
      </w:r>
      <w:r w:rsidRPr="00863CCE">
        <w:rPr>
          <w:rFonts w:ascii="Keren" w:eastAsia="Times New Roman" w:hAnsi="Keren" w:cs="David"/>
          <w:sz w:val="28"/>
          <w:szCs w:val="24"/>
          <w:rtl/>
          <w:lang w:eastAsia="he-IL"/>
          <w14:ligatures w14:val="none"/>
        </w:rPr>
        <w:instrText>מאבד עצמו לדעת"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ההתאבדות מבטאת בריחה מהחיים, אך לפי האמונה היהודית הנשמה נצחית היא, ואי אפשר לברוח מריבונו של עולם. האדם יצטרך לתת דין וחשבון על מעשיו גם לאחר מיתתו.</w:t>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למרות התייחסות עקרונית חמורה זו, חכמים ניסו לרכך מעט את ההתייחסות המעשית למי ששלחו יד בנפשם, ולא לדון אותו כמאבד עצמו לדעת. כגון אם ניתן לומר שמת כתוצאה מתאונה, או על ידי אחר, או שמא נכנסה בו רוח שטות. מי שנשתטה נחשב כאנוס ואין לו דין מאבד עצמו לדעת. גם קטן לא נחשב מאבד עצמו לדעת. אנוס,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"אישים:שאול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כגון שאול המלך שפחד שיתעללו בו הפלשתים, לא נחשב מאבד עצמו לדעת (מסכת מסכת שמחות פרק ב. טור ושלחן ערוך יורה דעה סימן שמה). יש דיונים הלכתיים לגבי שיכור כלוט. "כללו של דבר, במאבד עצמו לדעת תלינן בכל איזה תלייה כל שהוא, כגון לתלות ביראה או בצער, או שיצא מדעתו, או שסבור היה שזה מצוה לבלי להכשל בעברות אחרות וכיוצא באלו הדברים. מפני שזהו באמת דבר רחוק שאדם יעשה נבלה כזו בדעה צלולה" (ערוך השלחן יורה דעה סימן שמה, ה). </w:t>
      </w:r>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לענ"ד אין כדאי להקל, כי רצוי מאוד להרתיע אחרים מלהתאבד.</w:t>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ההגדרה ההלכתית לאיסור כוללת שלושה תנאים עיקריים: אמר בפה מלא שהולך להתאבד; ביצע מיד מה שאמר; עשה פעולתו דרך כעס. על שלושה אלו הוסיפו הפוסקים תנאים נוספים: שמא חזר בו לאחר ששלח יד בנפשו, והתחרט על מעשהו, אפילו השאיר מכתב שבו הוא מודיע שהורג את עצמו ונכתב בדעה צלולה – אפשר שאחרי שנכתב המכתב חזר בו. יש מי שכתב שדווקא אם התאבד לאחר שהתרו בו שלא ישלח יד בנפשו. מי שמתאבד לצורך תשובה או כשיצרו תוקפו לעבור עברה, אף שהדבר אסור לגמרי - לא מחשיבים אותו כמתאבד. (גשר החיים פרק כה, ג, ד)</w:t>
      </w:r>
    </w:p>
    <w:p w:rsidR="006024AB" w:rsidRPr="00863CCE" w:rsidRDefault="006024A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הכלל ההלכתי לגבי אבלות על המאבד עצמו לדעת – כל שהוא כבוד לחיים מתעסקים בו. כל שאין בו כבוד של חיים, אין מתעסקים בו לכל דבר. (מסכת שמחות ב, א. רמב"ם הלכות אבל א, יא. שלחן ערוך שם).</w:t>
      </w:r>
    </w:p>
    <w:p w:rsidR="00D5072B" w:rsidRDefault="006024AB">
      <w:r w:rsidRPr="00863CCE">
        <w:rPr>
          <w:rFonts w:ascii="Keren" w:eastAsia="Times New Roman" w:hAnsi="Keren" w:cs="David"/>
          <w:szCs w:val="20"/>
          <w:rtl/>
          <w:lang w:eastAsia="he-IL"/>
          <w14:ligatures w14:val="none"/>
        </w:rPr>
        <w:t xml:space="preserve">יש מצוות שאדם מחויב למסור את נפשו ולא לעבור עליהן – עבודה זרה, גילוי עריות ושפיכות דמים (סנהדרין דף עד). והיו מקרים בהם אנשים מישראל שלחו יד בנפשם מיראה שמא יכריחום לעבור עבירות אלו או עברות אחרות. ע"ע </w:t>
      </w:r>
      <w:r w:rsidRPr="00863CCE">
        <w:rPr>
          <w:rFonts w:ascii="Keren" w:eastAsia="Times New Roman" w:hAnsi="Keren" w:cs="David"/>
          <w:b/>
          <w:bCs/>
          <w:szCs w:val="20"/>
          <w:rtl/>
          <w:lang w:eastAsia="he-IL"/>
          <w14:ligatures w14:val="none"/>
        </w:rPr>
        <w:t xml:space="preserve">הישארות הנפש. כרת.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4AB"/>
    <w:rsid w:val="000D0A23"/>
    <w:rsid w:val="002C1211"/>
    <w:rsid w:val="005C4B14"/>
    <w:rsid w:val="006024AB"/>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4A4659-AAA4-41E8-AB98-87E96F96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02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02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024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024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024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24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24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24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24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024A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024A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024A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024AB"/>
    <w:rPr>
      <w:rFonts w:eastAsiaTheme="majorEastAsia" w:cstheme="majorBidi"/>
      <w:i/>
      <w:iCs/>
      <w:color w:val="0F4761" w:themeColor="accent1" w:themeShade="BF"/>
    </w:rPr>
  </w:style>
  <w:style w:type="character" w:customStyle="1" w:styleId="50">
    <w:name w:val="כותרת 5 תו"/>
    <w:basedOn w:val="a0"/>
    <w:link w:val="5"/>
    <w:uiPriority w:val="9"/>
    <w:semiHidden/>
    <w:rsid w:val="006024AB"/>
    <w:rPr>
      <w:rFonts w:eastAsiaTheme="majorEastAsia" w:cstheme="majorBidi"/>
      <w:color w:val="0F4761" w:themeColor="accent1" w:themeShade="BF"/>
    </w:rPr>
  </w:style>
  <w:style w:type="character" w:customStyle="1" w:styleId="60">
    <w:name w:val="כותרת 6 תו"/>
    <w:basedOn w:val="a0"/>
    <w:link w:val="6"/>
    <w:uiPriority w:val="9"/>
    <w:semiHidden/>
    <w:rsid w:val="006024AB"/>
    <w:rPr>
      <w:rFonts w:eastAsiaTheme="majorEastAsia" w:cstheme="majorBidi"/>
      <w:i/>
      <w:iCs/>
      <w:color w:val="595959" w:themeColor="text1" w:themeTint="A6"/>
    </w:rPr>
  </w:style>
  <w:style w:type="character" w:customStyle="1" w:styleId="70">
    <w:name w:val="כותרת 7 תו"/>
    <w:basedOn w:val="a0"/>
    <w:link w:val="7"/>
    <w:uiPriority w:val="9"/>
    <w:semiHidden/>
    <w:rsid w:val="006024AB"/>
    <w:rPr>
      <w:rFonts w:eastAsiaTheme="majorEastAsia" w:cstheme="majorBidi"/>
      <w:color w:val="595959" w:themeColor="text1" w:themeTint="A6"/>
    </w:rPr>
  </w:style>
  <w:style w:type="character" w:customStyle="1" w:styleId="80">
    <w:name w:val="כותרת 8 תו"/>
    <w:basedOn w:val="a0"/>
    <w:link w:val="8"/>
    <w:uiPriority w:val="9"/>
    <w:semiHidden/>
    <w:rsid w:val="006024AB"/>
    <w:rPr>
      <w:rFonts w:eastAsiaTheme="majorEastAsia" w:cstheme="majorBidi"/>
      <w:i/>
      <w:iCs/>
      <w:color w:val="272727" w:themeColor="text1" w:themeTint="D8"/>
    </w:rPr>
  </w:style>
  <w:style w:type="character" w:customStyle="1" w:styleId="90">
    <w:name w:val="כותרת 9 תו"/>
    <w:basedOn w:val="a0"/>
    <w:link w:val="9"/>
    <w:uiPriority w:val="9"/>
    <w:semiHidden/>
    <w:rsid w:val="006024AB"/>
    <w:rPr>
      <w:rFonts w:eastAsiaTheme="majorEastAsia" w:cstheme="majorBidi"/>
      <w:color w:val="272727" w:themeColor="text1" w:themeTint="D8"/>
    </w:rPr>
  </w:style>
  <w:style w:type="paragraph" w:styleId="a3">
    <w:name w:val="Title"/>
    <w:basedOn w:val="a"/>
    <w:next w:val="a"/>
    <w:link w:val="a4"/>
    <w:uiPriority w:val="10"/>
    <w:qFormat/>
    <w:rsid w:val="00602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024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24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024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024AB"/>
    <w:pPr>
      <w:spacing w:before="160"/>
      <w:jc w:val="center"/>
    </w:pPr>
    <w:rPr>
      <w:i/>
      <w:iCs/>
      <w:color w:val="404040" w:themeColor="text1" w:themeTint="BF"/>
    </w:rPr>
  </w:style>
  <w:style w:type="character" w:customStyle="1" w:styleId="a8">
    <w:name w:val="ציטוט תו"/>
    <w:basedOn w:val="a0"/>
    <w:link w:val="a7"/>
    <w:uiPriority w:val="29"/>
    <w:rsid w:val="006024AB"/>
    <w:rPr>
      <w:i/>
      <w:iCs/>
      <w:color w:val="404040" w:themeColor="text1" w:themeTint="BF"/>
    </w:rPr>
  </w:style>
  <w:style w:type="paragraph" w:styleId="a9">
    <w:name w:val="List Paragraph"/>
    <w:basedOn w:val="a"/>
    <w:uiPriority w:val="34"/>
    <w:qFormat/>
    <w:rsid w:val="006024AB"/>
    <w:pPr>
      <w:ind w:left="720"/>
      <w:contextualSpacing/>
    </w:pPr>
  </w:style>
  <w:style w:type="character" w:styleId="aa">
    <w:name w:val="Intense Emphasis"/>
    <w:basedOn w:val="a0"/>
    <w:uiPriority w:val="21"/>
    <w:qFormat/>
    <w:rsid w:val="006024AB"/>
    <w:rPr>
      <w:i/>
      <w:iCs/>
      <w:color w:val="0F4761" w:themeColor="accent1" w:themeShade="BF"/>
    </w:rPr>
  </w:style>
  <w:style w:type="paragraph" w:styleId="ab">
    <w:name w:val="Intense Quote"/>
    <w:basedOn w:val="a"/>
    <w:next w:val="a"/>
    <w:link w:val="ac"/>
    <w:uiPriority w:val="30"/>
    <w:qFormat/>
    <w:rsid w:val="00602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024AB"/>
    <w:rPr>
      <w:i/>
      <w:iCs/>
      <w:color w:val="0F4761" w:themeColor="accent1" w:themeShade="BF"/>
    </w:rPr>
  </w:style>
  <w:style w:type="character" w:styleId="ad">
    <w:name w:val="Intense Reference"/>
    <w:basedOn w:val="a0"/>
    <w:uiPriority w:val="32"/>
    <w:qFormat/>
    <w:rsid w:val="00602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463</Words>
  <Characters>2320</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