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5C61" w:rsidRPr="00863CCE" w:rsidRDefault="00115C61"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58"/>
      <w:r w:rsidRPr="00863CCE">
        <w:rPr>
          <w:rFonts w:ascii="Keren" w:eastAsia="Times New Roman" w:hAnsi="Keren" w:cs="David"/>
          <w:b/>
          <w:bCs/>
          <w:sz w:val="26"/>
          <w:szCs w:val="24"/>
          <w:rtl/>
          <w:lang w:eastAsia="he-IL"/>
          <w14:ligatures w14:val="none"/>
        </w:rPr>
        <w:t>מיתה ואדם הראשון</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"מיתה ואדם הראשון:ערך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115C61" w:rsidRPr="00863CCE" w:rsidRDefault="00115C61" w:rsidP="00863CCE">
      <w:pPr>
        <w:autoSpaceDE w:val="0"/>
        <w:autoSpaceDN w:val="0"/>
        <w:adjustRightInd w:val="0"/>
        <w:spacing w:after="0" w:line="360" w:lineRule="auto"/>
        <w:ind w:left="26"/>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מיתה נקנסה על בני האדם עקב חטא אדם הראשון.</w:t>
      </w:r>
    </w:p>
    <w:p w:rsidR="00115C61" w:rsidRPr="00863CCE" w:rsidRDefault="00115C61" w:rsidP="00863CCE">
      <w:pPr>
        <w:autoSpaceDE w:val="0"/>
        <w:autoSpaceDN w:val="0"/>
        <w:adjustRightInd w:val="0"/>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היה רבי מאיר אומר: אדם הראשון חסיד גדול היה, כיון שראה שנקנסה מיתה על ידו ישב בתענית מאה ושלֹשים שנה, ופירש מן האשה מאה ושלֹשים שנה (עירובין יח, ב). </w:t>
      </w:r>
    </w:p>
    <w:p w:rsidR="00115C61" w:rsidRPr="00863CCE" w:rsidRDefault="00115C61" w:rsidP="00863CCE">
      <w:pPr>
        <w:autoSpaceDE w:val="0"/>
        <w:autoSpaceDN w:val="0"/>
        <w:adjustRightInd w:val="0"/>
        <w:spacing w:after="0" w:line="360" w:lineRule="auto"/>
        <w:jc w:val="both"/>
        <w:rPr>
          <w:rFonts w:ascii="Times New Roman" w:eastAsia="Times New Roman" w:hAnsi="Times New Roman" w:cs="David"/>
          <w:sz w:val="20"/>
          <w:szCs w:val="24"/>
          <w:rtl/>
          <w:lang w:eastAsia="he-IL"/>
          <w14:ligatures w14:val="none"/>
        </w:rPr>
      </w:pPr>
      <w:r w:rsidRPr="00863CCE">
        <w:rPr>
          <w:rFonts w:ascii="Times New Roman" w:eastAsia="Times New Roman" w:hAnsi="Times New Roman" w:cs="David"/>
          <w:sz w:val="18"/>
          <w:szCs w:val="20"/>
          <w:rtl/>
          <w:lang w:eastAsia="he-IL"/>
          <w14:ligatures w14:val="none"/>
        </w:rPr>
        <w:t>מדוע נקנסה מיתה על אדם הראשון? יש דעות שלא קושרות מיתה דווקא לאדם הראשון אלא למין האדם בכלל:</w:t>
      </w:r>
    </w:p>
    <w:p w:rsidR="00115C61" w:rsidRPr="00863CCE" w:rsidRDefault="00115C61" w:rsidP="00863CCE">
      <w:pPr>
        <w:autoSpaceDE w:val="0"/>
        <w:autoSpaceDN w:val="0"/>
        <w:adjustRightInd w:val="0"/>
        <w:spacing w:after="0" w:line="360" w:lineRule="auto"/>
        <w:ind w:left="432"/>
        <w:jc w:val="both"/>
        <w:rPr>
          <w:rFonts w:ascii="Times New Roman" w:eastAsia="Times New Roman" w:hAnsi="Times New Roman" w:cs="David"/>
          <w:sz w:val="20"/>
          <w:szCs w:val="20"/>
          <w:rtl/>
          <w14:ligatures w14:val="none"/>
        </w:rPr>
      </w:pPr>
      <w:r w:rsidRPr="00863CCE">
        <w:rPr>
          <w:rFonts w:ascii="Times New Roman" w:eastAsia="Times New Roman" w:hAnsi="Times New Roman" w:cs="David"/>
          <w:color w:val="000000"/>
          <w:sz w:val="20"/>
          <w:szCs w:val="20"/>
          <w:rtl/>
          <w:lang w:eastAsia="he-IL"/>
          <w14:ligatures w14:val="none"/>
        </w:rPr>
        <w:t xml:space="preserve">רבי חמא ברבי חנינא אמר: ראוי היה אדם הראשון שלא יטעום טעם מוות, ולמה נקנסה בו מיתה? אלא צפה הקב"ה שנבוכדנצר וחירם עתידין לעשות עצמן אלוהות, לפיכך </w:t>
      </w:r>
      <w:r w:rsidRPr="00863CCE">
        <w:rPr>
          <w:rFonts w:ascii="Times New Roman" w:eastAsia="Times New Roman" w:hAnsi="Times New Roman" w:cs="David"/>
          <w:sz w:val="20"/>
          <w:szCs w:val="20"/>
          <w:rtl/>
          <w:lang w:eastAsia="he-IL"/>
          <w14:ligatures w14:val="none"/>
        </w:rPr>
        <w:t>נקנסה בו מיתה.</w:t>
      </w:r>
      <w:r w:rsidRPr="00863CCE">
        <w:rPr>
          <w:rFonts w:ascii="Times New Roman" w:eastAsia="Times New Roman" w:hAnsi="Times New Roman" w:cs="David"/>
          <w:color w:val="000000"/>
          <w:sz w:val="20"/>
          <w:szCs w:val="20"/>
          <w:rtl/>
          <w:lang w:eastAsia="he-IL"/>
          <w14:ligatures w14:val="none"/>
        </w:rPr>
        <w:t xml:space="preserve"> הכי הוא דכתיב "</w:t>
      </w:r>
      <w:r w:rsidRPr="00863CCE">
        <w:rPr>
          <w:rFonts w:ascii="Times New Roman" w:eastAsia="Times New Roman" w:hAnsi="Times New Roman" w:cs="David"/>
          <w:sz w:val="20"/>
          <w:szCs w:val="20"/>
          <w:rtl/>
          <w14:ligatures w14:val="none"/>
        </w:rPr>
        <w:t>בְּעֵדֶן גַּן אֱלֹהִים הָיִיתָ</w:t>
      </w:r>
      <w:r w:rsidRPr="00863CCE">
        <w:rPr>
          <w:rFonts w:ascii="Times New Roman" w:eastAsia="Times New Roman" w:hAnsi="Times New Roman" w:cs="David"/>
          <w:color w:val="000000"/>
          <w:sz w:val="20"/>
          <w:szCs w:val="20"/>
          <w:rtl/>
          <w:lang w:eastAsia="he-IL"/>
          <w14:ligatures w14:val="none"/>
        </w:rPr>
        <w:t>" וגו' (יחזקאל כח יג); וכי בעדן היה חירם? אתמהא! אלא אמר לו: את הוא שגרמת לאותו שבעדן שימות (בראשית רבה פרשה ט, דיבור המתחיל וירא אלוהים את כל אשר עשה).</w:t>
      </w:r>
    </w:p>
    <w:p w:rsidR="00115C61" w:rsidRPr="00863CCE" w:rsidRDefault="00115C61"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על פי הסבר זה מיתה נקנסה על מין האדם בכלל עקב החשש שהאדם יעשה מעצמו אלוה, כמו שאמנם קרה מספר פעמים בתולדות האנושות. על פי גישה זו המיתה נקנסה על אדם הראשון עצמו עקב חטאי צאצאיו.</w:t>
      </w:r>
    </w:p>
    <w:p w:rsidR="00115C61" w:rsidRPr="00863CCE" w:rsidRDefault="00115C61"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ישנן דעות הקושרות את המיתה לאדם הראשון דווקא, כיון שלא הצליח לעמוד בציוויו של הקדוש ברוך הוא:</w:t>
      </w:r>
    </w:p>
    <w:p w:rsidR="00115C61" w:rsidRPr="00863CCE" w:rsidRDefault="00115C61" w:rsidP="00863CCE">
      <w:pPr>
        <w:autoSpaceDE w:val="0"/>
        <w:autoSpaceDN w:val="0"/>
        <w:adjustRightInd w:val="0"/>
        <w:spacing w:after="0" w:line="360" w:lineRule="auto"/>
        <w:ind w:left="432"/>
        <w:jc w:val="both"/>
        <w:rPr>
          <w:rFonts w:ascii="Times New Roman" w:eastAsia="Times New Roman" w:hAnsi="Times New Roman" w:cs="David"/>
          <w:sz w:val="20"/>
          <w:szCs w:val="20"/>
          <w:rtl/>
          <w14:ligatures w14:val="none"/>
        </w:rPr>
      </w:pPr>
      <w:r w:rsidRPr="00863CCE">
        <w:rPr>
          <w:rFonts w:ascii="Times New Roman" w:eastAsia="Times New Roman" w:hAnsi="Times New Roman" w:cs="David"/>
          <w:sz w:val="18"/>
          <w:szCs w:val="20"/>
          <w:rtl/>
          <w:lang w:eastAsia="he-IL"/>
          <w14:ligatures w14:val="none"/>
        </w:rPr>
        <w:t>אילו המתינו ישראל למשה ולא היו עושים אותו מעשה (חטא העגל) לא היו גלויות ולא מלאך המוות שולט בהן. וכן הוא אומר (שמות לב) "</w:t>
      </w:r>
      <w:r w:rsidRPr="00863CCE">
        <w:rPr>
          <w:rFonts w:ascii="Times New Roman" w:eastAsia="Times New Roman" w:hAnsi="Times New Roman" w:cs="David"/>
          <w:sz w:val="20"/>
          <w:szCs w:val="20"/>
          <w:rtl/>
          <w14:ligatures w14:val="none"/>
        </w:rPr>
        <w:t>וְהַמִּכְתָּב מִכְתַּב אֱלֹהִים הוּא חָרוּת עַל הַלֻּחֹת</w:t>
      </w:r>
      <w:r w:rsidRPr="00863CCE">
        <w:rPr>
          <w:rFonts w:ascii="Times New Roman" w:eastAsia="Times New Roman" w:hAnsi="Times New Roman" w:cs="David"/>
          <w:sz w:val="18"/>
          <w:szCs w:val="20"/>
          <w:rtl/>
          <w:lang w:eastAsia="he-IL"/>
          <w14:ligatures w14:val="none"/>
        </w:rPr>
        <w:t>", מהו חרות? ר' יהודה אומר: חירות מן הגלויות, ור' נחמיה אומר: חירות ממלאך המוות. בשעה שאמרו ישראל: "</w:t>
      </w:r>
      <w:r w:rsidRPr="00863CCE">
        <w:rPr>
          <w:rFonts w:ascii="Times New Roman" w:eastAsia="Times New Roman" w:hAnsi="Times New Roman" w:cs="David"/>
          <w:sz w:val="20"/>
          <w:szCs w:val="20"/>
          <w:rtl/>
          <w14:ligatures w14:val="none"/>
        </w:rPr>
        <w:t>כֹּל אֲשֶׁר דִּבֶּר ה' נַעֲשֶׂה וְנִשְׁמָע</w:t>
      </w:r>
      <w:r w:rsidRPr="00863CCE">
        <w:rPr>
          <w:rFonts w:ascii="Times New Roman" w:eastAsia="Times New Roman" w:hAnsi="Times New Roman" w:cs="David"/>
          <w:sz w:val="18"/>
          <w:szCs w:val="20"/>
          <w:rtl/>
          <w:lang w:eastAsia="he-IL"/>
          <w14:ligatures w14:val="none"/>
        </w:rPr>
        <w:t>" אמר הקב"ה: אדם הראשון צויתיו מצוה אחת כדי שיקיימנה, והשויתיו למלאכי השרת שנאמר (בראשית ג) "</w:t>
      </w:r>
      <w:r w:rsidRPr="00863CCE">
        <w:rPr>
          <w:rFonts w:ascii="Times New Roman" w:eastAsia="Times New Roman" w:hAnsi="Times New Roman" w:cs="David"/>
          <w:sz w:val="20"/>
          <w:szCs w:val="20"/>
          <w:rtl/>
          <w14:ligatures w14:val="none"/>
        </w:rPr>
        <w:t>הֵן הָאָדָם הָיָה כְּאַחַד מִמֶּנּוּ</w:t>
      </w:r>
      <w:r w:rsidRPr="00863CCE">
        <w:rPr>
          <w:rFonts w:ascii="Times New Roman" w:eastAsia="Times New Roman" w:hAnsi="Times New Roman" w:cs="David"/>
          <w:sz w:val="18"/>
          <w:szCs w:val="20"/>
          <w:rtl/>
          <w:lang w:eastAsia="he-IL"/>
          <w14:ligatures w14:val="none"/>
        </w:rPr>
        <w:t>"; אלו שהן עושין ומקיימין תרי"ג מצות חוץ מן הכללים ומן הפרטים ומן הדקדוקים, אינו דין שיהיו הן חיין וקיימין לעולם?! וכן הוא אומר (במדבר כא) "</w:t>
      </w:r>
      <w:r w:rsidRPr="00863CCE">
        <w:rPr>
          <w:rFonts w:ascii="Times New Roman" w:eastAsia="Times New Roman" w:hAnsi="Times New Roman" w:cs="David"/>
          <w:sz w:val="20"/>
          <w:szCs w:val="20"/>
          <w:rtl/>
          <w14:ligatures w14:val="none"/>
        </w:rPr>
        <w:t>וּמִמַּתָּנָה נַחֲלִיאֵל</w:t>
      </w:r>
      <w:r w:rsidRPr="00863CCE">
        <w:rPr>
          <w:rFonts w:ascii="Times New Roman" w:eastAsia="Times New Roman" w:hAnsi="Times New Roman" w:cs="David"/>
          <w:sz w:val="18"/>
          <w:szCs w:val="20"/>
          <w:rtl/>
          <w:lang w:eastAsia="he-IL"/>
          <w14:ligatures w14:val="none"/>
        </w:rPr>
        <w:t>" - שנחלו מהקב"ה שיהיו חיים וקיימין לעולם. כיון שאמרו "</w:t>
      </w:r>
      <w:r w:rsidRPr="00863CCE">
        <w:rPr>
          <w:rFonts w:ascii="Times New Roman" w:eastAsia="Times New Roman" w:hAnsi="Times New Roman" w:cs="David"/>
          <w:sz w:val="20"/>
          <w:szCs w:val="20"/>
          <w:rtl/>
          <w14:ligatures w14:val="none"/>
        </w:rPr>
        <w:t>אֵלֶּה אֱלֹהֶיךָ יִשְׂרָאֵל</w:t>
      </w:r>
      <w:r w:rsidRPr="00863CCE">
        <w:rPr>
          <w:rFonts w:ascii="Times New Roman" w:eastAsia="Times New Roman" w:hAnsi="Times New Roman" w:cs="David"/>
          <w:sz w:val="18"/>
          <w:szCs w:val="20"/>
          <w:rtl/>
          <w:lang w:eastAsia="he-IL"/>
          <w14:ligatures w14:val="none"/>
        </w:rPr>
        <w:t>" בא מוות עליהן. אמר הקב"ה: בשיטתו של אדם הראשון הלכתם, שלא עמד בנסיונו שלֹש שעות, ובתשע שעות נקנסה עליו מיתה. "</w:t>
      </w:r>
      <w:r w:rsidRPr="00863CCE">
        <w:rPr>
          <w:rFonts w:ascii="Times New Roman" w:eastAsia="Times New Roman" w:hAnsi="Times New Roman" w:cs="David"/>
          <w:sz w:val="20"/>
          <w:szCs w:val="20"/>
          <w:rtl/>
          <w14:ligatures w14:val="none"/>
        </w:rPr>
        <w:t>אֲנִי אָמַרְתִּי אֱלֹהִים אַתֶּם</w:t>
      </w:r>
      <w:r w:rsidRPr="00863CCE">
        <w:rPr>
          <w:rFonts w:ascii="Times New Roman" w:eastAsia="Times New Roman" w:hAnsi="Times New Roman" w:cs="David"/>
          <w:sz w:val="18"/>
          <w:szCs w:val="20"/>
          <w:rtl/>
          <w:lang w:eastAsia="he-IL"/>
          <w14:ligatures w14:val="none"/>
        </w:rPr>
        <w:t>" והלכתם אחר מדותיו של אדם הראשון - "</w:t>
      </w:r>
      <w:r w:rsidRPr="00863CCE">
        <w:rPr>
          <w:rFonts w:ascii="Times New Roman" w:eastAsia="Times New Roman" w:hAnsi="Times New Roman" w:cs="David"/>
          <w:sz w:val="20"/>
          <w:szCs w:val="20"/>
          <w:rtl/>
          <w14:ligatures w14:val="none"/>
        </w:rPr>
        <w:t>אָכֵן כְּאָדָם תְּמוּתוּן</w:t>
      </w:r>
      <w:r w:rsidRPr="00863CCE">
        <w:rPr>
          <w:rFonts w:ascii="Times New Roman" w:eastAsia="Times New Roman" w:hAnsi="Times New Roman" w:cs="David"/>
          <w:sz w:val="18"/>
          <w:szCs w:val="20"/>
          <w:rtl/>
          <w:lang w:eastAsia="he-IL"/>
          <w14:ligatures w14:val="none"/>
        </w:rPr>
        <w:t>". (שמות רבה וילנא פרשה לב דיבור המתחיל "הנה אנכי").</w:t>
      </w:r>
    </w:p>
    <w:p w:rsidR="00115C61" w:rsidRPr="00863CCE" w:rsidRDefault="00115C61"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על הקשר בין חטא אדם הראשון למיתה נכתב רבות. נצטט מקור אחד בעניין:</w:t>
      </w:r>
    </w:p>
    <w:p w:rsidR="00115C61" w:rsidRPr="00863CCE" w:rsidRDefault="00115C61" w:rsidP="00863CCE">
      <w:pPr>
        <w:autoSpaceDE w:val="0"/>
        <w:autoSpaceDN w:val="0"/>
        <w:adjustRightInd w:val="0"/>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כי מחמת האכילה מעץ הדעת בו ביום נתמעטה קומתו וניתן לו אחר כך מזון מתייחס לתמורת הניתך... . והנה אבינו הראשון היה עתיד לילך בכח האכילה ההיא מחיל אל חיל, ולהגיע בגוף ונפש אל העדן אשר אין שם אכילה ושתייה אלא ההנאה מזיו השכינה. אבל אחר החטא התמידה ההתכה בכל יום ואין המזון תמורה מספקת, וכל שכן בהיותו יגע בו אלא לסעדו לחיי שעה. עד שהגיע אל הגויעה בסוף ימיו לכלא הפשע ולהתם חטאת (ספר עשרה מאמרות לרבי מנחם עזריה מפאנו, מאמר חקור הדין חלק ב פרק ו).</w:t>
      </w:r>
    </w:p>
    <w:p w:rsidR="00115C61" w:rsidRPr="00863CCE" w:rsidRDefault="00115C61" w:rsidP="00863CCE">
      <w:pPr>
        <w:spacing w:after="0" w:line="360" w:lineRule="auto"/>
        <w:jc w:val="both"/>
        <w:rPr>
          <w:rFonts w:ascii="Keren" w:eastAsia="Times New Roman" w:hAnsi="Keren" w:cs="David"/>
          <w:sz w:val="24"/>
          <w:szCs w:val="20"/>
          <w:rtl/>
          <w:lang w:eastAsia="he-IL"/>
          <w14:ligatures w14:val="none"/>
        </w:rPr>
      </w:pPr>
      <w:r w:rsidRPr="00863CCE">
        <w:rPr>
          <w:rFonts w:ascii="Times New Roman" w:eastAsia="Times New Roman" w:hAnsi="Times New Roman" w:cs="David"/>
          <w:sz w:val="18"/>
          <w:szCs w:val="20"/>
          <w:rtl/>
          <w:lang w:eastAsia="he-IL"/>
          <w14:ligatures w14:val="none"/>
        </w:rPr>
        <w:t>על פי תפיסה זו, אדם הראשון היה אמור לחיות חיי נצח. כיון שחטא, התקלקל מזונו, וגופו אינו מסוגל להחזיק מעמד. בעצם ניתן לומר שהאדם מתחיל למות ברגע שנולד, ותהליך המיתה מסתיים במיתתו. על כך ניתן לדרוש את הפסוק "</w:t>
      </w:r>
      <w:r w:rsidRPr="00863CCE">
        <w:rPr>
          <w:rFonts w:ascii="Keren" w:eastAsia="Times New Roman" w:hAnsi="Keren" w:cs="David"/>
          <w:sz w:val="24"/>
          <w:szCs w:val="20"/>
          <w:rtl/>
          <w:lang w:eastAsia="he-IL"/>
          <w14:ligatures w14:val="none"/>
        </w:rPr>
        <w:t>טוֹב שֵׁם מִשֶּׁמֶן טוֹב, וְיוֹם הַמָּוֶת מִיּוֹם הִוָּלְדוֹ</w:t>
      </w:r>
      <w:r w:rsidRPr="00863CCE">
        <w:rPr>
          <w:rFonts w:ascii="Times New Roman" w:eastAsia="Times New Roman" w:hAnsi="Times New Roman" w:cs="David"/>
          <w:sz w:val="18"/>
          <w:szCs w:val="20"/>
          <w:rtl/>
          <w:lang w:eastAsia="he-IL"/>
          <w14:ligatures w14:val="none"/>
        </w:rPr>
        <w:t xml:space="preserve">". כעין זה כתב הראי"ה קוק: </w:t>
      </w:r>
    </w:p>
    <w:p w:rsidR="00115C61" w:rsidRPr="00863CCE" w:rsidRDefault="00115C61" w:rsidP="00863CCE">
      <w:pPr>
        <w:autoSpaceDE w:val="0"/>
        <w:autoSpaceDN w:val="0"/>
        <w:adjustRightInd w:val="0"/>
        <w:spacing w:after="0" w:line="360" w:lineRule="auto"/>
        <w:ind w:left="386"/>
        <w:jc w:val="both"/>
        <w:rPr>
          <w:rFonts w:ascii="Times New Roman" w:eastAsia="Times New Roman" w:hAnsi="Times New Roman" w:cs="David"/>
          <w:sz w:val="20"/>
          <w:szCs w:val="24"/>
          <w:rtl/>
          <w:lang w:eastAsia="he-IL"/>
          <w14:ligatures w14:val="none"/>
        </w:rPr>
      </w:pPr>
      <w:r w:rsidRPr="00863CCE">
        <w:rPr>
          <w:rFonts w:ascii="Times New Roman" w:eastAsia="Times New Roman" w:hAnsi="Times New Roman" w:cs="David"/>
          <w:sz w:val="18"/>
          <w:szCs w:val="20"/>
          <w:rtl/>
          <w:lang w:eastAsia="he-IL"/>
          <w14:ligatures w14:val="none"/>
        </w:rPr>
        <w:t xml:space="preserve">המות הוא חזיון שוא, טומאתו היא שקרו. מה שבני אדם קוראים מות הרי הוא רק תגבורת החיים ותעצומותם (אורות הקדש חלק ב, החיות העולמית פיסקה מ). מובא בספר בעמוד </w:t>
      </w:r>
      <w:r w:rsidRPr="00863CCE">
        <w:rPr>
          <w:rFonts w:ascii="Times New Roman" w:eastAsia="Times New Roman" w:hAnsi="Times New Roman" w:cs="David"/>
          <w:sz w:val="18"/>
          <w:szCs w:val="20"/>
          <w:rtl/>
          <w:lang w:eastAsia="he-IL"/>
          <w14:ligatures w14:val="none"/>
        </w:rPr>
        <w:fldChar w:fldCharType="begin"/>
      </w:r>
      <w:r w:rsidRPr="00863CCE">
        <w:rPr>
          <w:rFonts w:ascii="Times New Roman" w:eastAsia="Times New Roman" w:hAnsi="Times New Roman" w:cs="David"/>
          <w:sz w:val="18"/>
          <w:szCs w:val="20"/>
          <w:rtl/>
          <w:lang w:eastAsia="he-IL"/>
          <w14:ligatures w14:val="none"/>
        </w:rPr>
        <w:instrText xml:space="preserve"> </w:instrText>
      </w:r>
      <w:r w:rsidRPr="00863CCE">
        <w:rPr>
          <w:rFonts w:ascii="Times New Roman" w:eastAsia="Times New Roman" w:hAnsi="Times New Roman" w:cs="David"/>
          <w:sz w:val="18"/>
          <w:szCs w:val="20"/>
          <w:lang w:eastAsia="he-IL"/>
          <w14:ligatures w14:val="none"/>
        </w:rPr>
        <w:instrText xml:space="preserve">PAGEREF </w:instrText>
      </w:r>
      <w:r w:rsidRPr="00863CCE">
        <w:rPr>
          <w:rFonts w:ascii="Times New Roman" w:eastAsia="Times New Roman" w:hAnsi="Times New Roman" w:cs="David"/>
          <w:sz w:val="18"/>
          <w:szCs w:val="20"/>
          <w:rtl/>
          <w:lang w:eastAsia="he-IL"/>
          <w14:ligatures w14:val="none"/>
        </w:rPr>
        <w:instrText>_</w:instrText>
      </w:r>
      <w:r w:rsidRPr="00863CCE">
        <w:rPr>
          <w:rFonts w:ascii="Times New Roman" w:eastAsia="Times New Roman" w:hAnsi="Times New Roman" w:cs="David"/>
          <w:sz w:val="18"/>
          <w:szCs w:val="20"/>
          <w:lang w:eastAsia="he-IL"/>
          <w14:ligatures w14:val="none"/>
        </w:rPr>
        <w:instrText>Ref87896457 \h</w:instrText>
      </w:r>
      <w:r w:rsidRPr="00863CCE">
        <w:rPr>
          <w:rFonts w:ascii="Times New Roman" w:eastAsia="Times New Roman" w:hAnsi="Times New Roman" w:cs="David"/>
          <w:sz w:val="18"/>
          <w:szCs w:val="20"/>
          <w:rtl/>
          <w:lang w:eastAsia="he-IL"/>
          <w14:ligatures w14:val="none"/>
        </w:rPr>
        <w:instrText xml:space="preserve"> </w:instrText>
      </w:r>
      <w:r w:rsidRPr="00863CCE">
        <w:rPr>
          <w:rFonts w:ascii="Times New Roman" w:eastAsia="Times New Roman" w:hAnsi="Times New Roman" w:cs="David"/>
          <w:sz w:val="18"/>
          <w:szCs w:val="20"/>
          <w:rtl/>
          <w:lang w:eastAsia="he-IL"/>
          <w14:ligatures w14:val="none"/>
        </w:rPr>
      </w:r>
      <w:r w:rsidRPr="00863CCE">
        <w:rPr>
          <w:rFonts w:ascii="Times New Roman" w:eastAsia="Times New Roman" w:hAnsi="Times New Roman" w:cs="David"/>
          <w:sz w:val="18"/>
          <w:szCs w:val="20"/>
          <w:rtl/>
          <w:lang w:eastAsia="he-IL"/>
          <w14:ligatures w14:val="none"/>
        </w:rPr>
        <w:fldChar w:fldCharType="separate"/>
      </w:r>
      <w:r w:rsidRPr="00863CCE">
        <w:rPr>
          <w:rFonts w:ascii="Times New Roman" w:eastAsia="Times New Roman" w:hAnsi="Times New Roman" w:cs="David"/>
          <w:noProof/>
          <w:sz w:val="18"/>
          <w:szCs w:val="20"/>
          <w:rtl/>
          <w:lang w:eastAsia="he-IL"/>
          <w14:ligatures w14:val="none"/>
        </w:rPr>
        <w:t>254</w:t>
      </w:r>
      <w:r w:rsidRPr="00863CCE">
        <w:rPr>
          <w:rFonts w:ascii="Times New Roman" w:eastAsia="Times New Roman" w:hAnsi="Times New Roman" w:cs="David"/>
          <w:sz w:val="18"/>
          <w:szCs w:val="20"/>
          <w:rtl/>
          <w:lang w:eastAsia="he-IL"/>
          <w14:ligatures w14:val="none"/>
        </w:rPr>
        <w:fldChar w:fldCharType="end"/>
      </w:r>
      <w:r w:rsidRPr="00863CCE">
        <w:rPr>
          <w:rFonts w:ascii="Times New Roman" w:eastAsia="Times New Roman" w:hAnsi="Times New Roman" w:cs="David"/>
          <w:sz w:val="18"/>
          <w:szCs w:val="20"/>
          <w:rtl/>
          <w:lang w:eastAsia="he-IL"/>
          <w14:ligatures w14:val="none"/>
        </w:rPr>
        <w:t>@.</w:t>
      </w:r>
    </w:p>
    <w:p w:rsidR="00D5072B" w:rsidRDefault="00115C61">
      <w:r w:rsidRPr="00863CCE">
        <w:rPr>
          <w:rFonts w:ascii="Keren" w:eastAsia="Times New Roman" w:hAnsi="Keren" w:cs="David"/>
          <w:szCs w:val="20"/>
          <w:rtl/>
          <w:lang w:eastAsia="he-IL"/>
          <w14:ligatures w14:val="none"/>
        </w:rPr>
        <w:t xml:space="preserve">ע"ע הקדמת רבי עובדיה ספורנו לספר בראשית. ע"ע </w:t>
      </w:r>
      <w:r w:rsidRPr="00863CCE">
        <w:rPr>
          <w:rFonts w:ascii="Keren" w:eastAsia="Times New Roman" w:hAnsi="Keren" w:cs="David"/>
          <w:b/>
          <w:bCs/>
          <w:szCs w:val="20"/>
          <w:rtl/>
          <w:lang w:eastAsia="he-IL"/>
          <w14:ligatures w14:val="none"/>
        </w:rPr>
        <w:t>כרת. מיתת נשיקה. מערת המכפלה. תוחלת החיים.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C61"/>
    <w:rsid w:val="000D0A23"/>
    <w:rsid w:val="00115C61"/>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1AE10E-A1DE-4BBA-A9EC-BE6AB8F5C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15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15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15C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15C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15C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15C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15C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15C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15C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15C6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15C6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15C6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15C61"/>
    <w:rPr>
      <w:rFonts w:eastAsiaTheme="majorEastAsia" w:cstheme="majorBidi"/>
      <w:i/>
      <w:iCs/>
      <w:color w:val="0F4761" w:themeColor="accent1" w:themeShade="BF"/>
    </w:rPr>
  </w:style>
  <w:style w:type="character" w:customStyle="1" w:styleId="50">
    <w:name w:val="כותרת 5 תו"/>
    <w:basedOn w:val="a0"/>
    <w:link w:val="5"/>
    <w:uiPriority w:val="9"/>
    <w:semiHidden/>
    <w:rsid w:val="00115C61"/>
    <w:rPr>
      <w:rFonts w:eastAsiaTheme="majorEastAsia" w:cstheme="majorBidi"/>
      <w:color w:val="0F4761" w:themeColor="accent1" w:themeShade="BF"/>
    </w:rPr>
  </w:style>
  <w:style w:type="character" w:customStyle="1" w:styleId="60">
    <w:name w:val="כותרת 6 תו"/>
    <w:basedOn w:val="a0"/>
    <w:link w:val="6"/>
    <w:uiPriority w:val="9"/>
    <w:semiHidden/>
    <w:rsid w:val="00115C61"/>
    <w:rPr>
      <w:rFonts w:eastAsiaTheme="majorEastAsia" w:cstheme="majorBidi"/>
      <w:i/>
      <w:iCs/>
      <w:color w:val="595959" w:themeColor="text1" w:themeTint="A6"/>
    </w:rPr>
  </w:style>
  <w:style w:type="character" w:customStyle="1" w:styleId="70">
    <w:name w:val="כותרת 7 תו"/>
    <w:basedOn w:val="a0"/>
    <w:link w:val="7"/>
    <w:uiPriority w:val="9"/>
    <w:semiHidden/>
    <w:rsid w:val="00115C61"/>
    <w:rPr>
      <w:rFonts w:eastAsiaTheme="majorEastAsia" w:cstheme="majorBidi"/>
      <w:color w:val="595959" w:themeColor="text1" w:themeTint="A6"/>
    </w:rPr>
  </w:style>
  <w:style w:type="character" w:customStyle="1" w:styleId="80">
    <w:name w:val="כותרת 8 תו"/>
    <w:basedOn w:val="a0"/>
    <w:link w:val="8"/>
    <w:uiPriority w:val="9"/>
    <w:semiHidden/>
    <w:rsid w:val="00115C61"/>
    <w:rPr>
      <w:rFonts w:eastAsiaTheme="majorEastAsia" w:cstheme="majorBidi"/>
      <w:i/>
      <w:iCs/>
      <w:color w:val="272727" w:themeColor="text1" w:themeTint="D8"/>
    </w:rPr>
  </w:style>
  <w:style w:type="character" w:customStyle="1" w:styleId="90">
    <w:name w:val="כותרת 9 תו"/>
    <w:basedOn w:val="a0"/>
    <w:link w:val="9"/>
    <w:uiPriority w:val="9"/>
    <w:semiHidden/>
    <w:rsid w:val="00115C61"/>
    <w:rPr>
      <w:rFonts w:eastAsiaTheme="majorEastAsia" w:cstheme="majorBidi"/>
      <w:color w:val="272727" w:themeColor="text1" w:themeTint="D8"/>
    </w:rPr>
  </w:style>
  <w:style w:type="paragraph" w:styleId="a3">
    <w:name w:val="Title"/>
    <w:basedOn w:val="a"/>
    <w:next w:val="a"/>
    <w:link w:val="a4"/>
    <w:uiPriority w:val="10"/>
    <w:qFormat/>
    <w:rsid w:val="00115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15C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5C6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15C6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15C61"/>
    <w:pPr>
      <w:spacing w:before="160"/>
      <w:jc w:val="center"/>
    </w:pPr>
    <w:rPr>
      <w:i/>
      <w:iCs/>
      <w:color w:val="404040" w:themeColor="text1" w:themeTint="BF"/>
    </w:rPr>
  </w:style>
  <w:style w:type="character" w:customStyle="1" w:styleId="a8">
    <w:name w:val="ציטוט תו"/>
    <w:basedOn w:val="a0"/>
    <w:link w:val="a7"/>
    <w:uiPriority w:val="29"/>
    <w:rsid w:val="00115C61"/>
    <w:rPr>
      <w:i/>
      <w:iCs/>
      <w:color w:val="404040" w:themeColor="text1" w:themeTint="BF"/>
    </w:rPr>
  </w:style>
  <w:style w:type="paragraph" w:styleId="a9">
    <w:name w:val="List Paragraph"/>
    <w:basedOn w:val="a"/>
    <w:uiPriority w:val="34"/>
    <w:qFormat/>
    <w:rsid w:val="00115C61"/>
    <w:pPr>
      <w:ind w:left="720"/>
      <w:contextualSpacing/>
    </w:pPr>
  </w:style>
  <w:style w:type="character" w:styleId="aa">
    <w:name w:val="Intense Emphasis"/>
    <w:basedOn w:val="a0"/>
    <w:uiPriority w:val="21"/>
    <w:qFormat/>
    <w:rsid w:val="00115C61"/>
    <w:rPr>
      <w:i/>
      <w:iCs/>
      <w:color w:val="0F4761" w:themeColor="accent1" w:themeShade="BF"/>
    </w:rPr>
  </w:style>
  <w:style w:type="paragraph" w:styleId="ab">
    <w:name w:val="Intense Quote"/>
    <w:basedOn w:val="a"/>
    <w:next w:val="a"/>
    <w:link w:val="ac"/>
    <w:uiPriority w:val="30"/>
    <w:qFormat/>
    <w:rsid w:val="00115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15C61"/>
    <w:rPr>
      <w:i/>
      <w:iCs/>
      <w:color w:val="0F4761" w:themeColor="accent1" w:themeShade="BF"/>
    </w:rPr>
  </w:style>
  <w:style w:type="character" w:styleId="ad">
    <w:name w:val="Intense Reference"/>
    <w:basedOn w:val="a0"/>
    <w:uiPriority w:val="32"/>
    <w:qFormat/>
    <w:rsid w:val="00115C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501</Words>
  <Characters>2510</Characters>
  <Application>Microsoft Office Word</Application>
  <DocSecurity>0</DocSecurity>
  <Lines>20</Lines>
  <Paragraphs>6</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