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723B" w:rsidRPr="00863CCE" w:rsidRDefault="00BE723B"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60"/>
      <w:r w:rsidRPr="00863CCE">
        <w:rPr>
          <w:rFonts w:ascii="Keren" w:eastAsia="Times New Roman" w:hAnsi="Keren" w:cs="David"/>
          <w:b/>
          <w:bCs/>
          <w:sz w:val="26"/>
          <w:szCs w:val="24"/>
          <w:rtl/>
          <w:lang w:eastAsia="he-IL"/>
          <w14:ligatures w14:val="none"/>
        </w:rPr>
        <w:t>מיתת צדיקים מכפרת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"מיתת צדיקים מכפרת:ערך באוצר המושגים"</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"כפרה:מיתת צדיקים"</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BE723B" w:rsidRPr="00863CCE" w:rsidRDefault="00BE723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חכמים למדו זאת מסמיכות פרשיות בתורה.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"אישים:מרים"</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p>
    <w:p w:rsidR="00BE723B" w:rsidRPr="00863CCE" w:rsidRDefault="00BE723B"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למה נסמכה מיתת מרים לפרשת פרה אדומה? לומר לך, מה פרה אדומה מכפרת, אף מיתתן של צדיקים מכפרת. למה נסמכה מיתת אהרן לבגדי כהונה? לומר לך, מה בגדי כהונה מכפרים, אף מיתתן של צדיקים מכפרת (מועד קטן כח, א). </w:t>
      </w:r>
    </w:p>
    <w:p w:rsidR="00BE723B" w:rsidRPr="00863CCE" w:rsidRDefault="00BE723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במדרש למדו: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"אישים:נדב ואביהוא"</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p>
    <w:p w:rsidR="00BE723B" w:rsidRPr="00863CCE" w:rsidRDefault="00BE723B" w:rsidP="00863CCE">
      <w:pPr>
        <w:autoSpaceDE w:val="0"/>
        <w:autoSpaceDN w:val="0"/>
        <w:adjustRightInd w:val="0"/>
        <w:spacing w:after="0" w:line="360" w:lineRule="auto"/>
        <w:ind w:left="432"/>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מפני מה מזכיר מיתתן של בני אהרן ביום הכיפורים? מלמד שכשם שיום הכיפורים מכפר, כך מיתתן של צדיקים מכפרת. ומנין שיום הכיפורים מכפר? דכתיב "</w:t>
      </w:r>
      <w:r w:rsidRPr="00863CCE">
        <w:rPr>
          <w:rFonts w:ascii="Times New Roman" w:eastAsia="Times New Roman" w:hAnsi="Times New Roman" w:cs="David"/>
          <w:sz w:val="20"/>
          <w:szCs w:val="20"/>
          <w:rtl/>
          <w14:ligatures w14:val="none"/>
        </w:rPr>
        <w:t>כִּי בַיּוֹם הַזֶּה יְכַפֵּר</w:t>
      </w:r>
      <w:r w:rsidRPr="00863CCE">
        <w:rPr>
          <w:rFonts w:ascii="Keren" w:eastAsia="Times New Roman" w:hAnsi="Keren" w:cs="David"/>
          <w:szCs w:val="20"/>
          <w:rtl/>
          <w:lang w:eastAsia="he-IL"/>
          <w14:ligatures w14:val="none"/>
        </w:rPr>
        <w:t>" (ויקרא טז, ל). ומנין שמיתתן של צדיקים מכפרת? שנאמר "</w:t>
      </w:r>
      <w:r w:rsidRPr="00863CCE">
        <w:rPr>
          <w:rFonts w:ascii="Keren" w:eastAsia="Times New Roman" w:hAnsi="Keren" w:cs="David"/>
          <w:sz w:val="20"/>
          <w:szCs w:val="20"/>
          <w:rtl/>
          <w:lang w:eastAsia="he-IL"/>
          <w14:ligatures w14:val="none"/>
        </w:rPr>
        <w:t>וַיִּקְבְּרוּ אֶת עַצְמוֹת שָׁאוּל וִיהוֹנָתָן בְּנוֹ בְּאֶרֶץ בִּנְיָמִן בְּצֵלָע בְּקֶבֶר קִישׁ אָבִיו וַיַּעֲשׂוּ כֹּל אֲשֶׁר צִוָּה הַמֶּלֶךְ</w:t>
      </w:r>
      <w:r w:rsidRPr="00863CCE">
        <w:rPr>
          <w:rFonts w:ascii="Keren" w:eastAsia="Times New Roman" w:hAnsi="Keren" w:cs="David"/>
          <w:color w:val="000000"/>
          <w:sz w:val="20"/>
          <w:szCs w:val="20"/>
          <w:rtl/>
          <w:lang w:eastAsia="he-IL"/>
          <w14:ligatures w14:val="none"/>
        </w:rPr>
        <w:t xml:space="preserve"> וַיֵּעָתֵר אֱלֹהִים לָאָרֶץ אַחֲרֵי כֵן</w:t>
      </w:r>
      <w:r w:rsidRPr="00863CCE">
        <w:rPr>
          <w:rFonts w:ascii="Keren" w:eastAsia="Times New Roman" w:hAnsi="Keren" w:cs="David"/>
          <w:szCs w:val="20"/>
          <w:rtl/>
          <w:lang w:eastAsia="he-IL"/>
          <w14:ligatures w14:val="none"/>
        </w:rPr>
        <w:t>" (שמואל ב', כא, יד; ילקוט שמעוני ויקרא סימן תקכ"ה).</w:t>
      </w:r>
    </w:p>
    <w:p w:rsidR="00BE723B" w:rsidRPr="00863CCE" w:rsidRDefault="00BE723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רש"י פירש: </w:t>
      </w:r>
    </w:p>
    <w:p w:rsidR="00BE723B" w:rsidRPr="00863CCE" w:rsidRDefault="00BE723B"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כשהקדוש ברוך הוא עושה דין בצדיקים, מתיירא ומתעלה ומתקלס. אם כך באלו, קל וחומר ברשעים. וכן הוא אומר "</w:t>
      </w:r>
      <w:r w:rsidRPr="00863CCE">
        <w:rPr>
          <w:rFonts w:ascii="Keren" w:eastAsia="Times New Roman" w:hAnsi="Keren" w:cs="David"/>
          <w:sz w:val="20"/>
          <w:szCs w:val="20"/>
          <w:rtl/>
          <w:lang w:eastAsia="he-IL"/>
          <w14:ligatures w14:val="none"/>
        </w:rPr>
        <w:t>נוֹרָא אֱלֹהִים מִמִּקְדָּשֶׁיךָ</w:t>
      </w:r>
      <w:r w:rsidRPr="00863CCE">
        <w:rPr>
          <w:rFonts w:ascii="Keren" w:eastAsia="Times New Roman" w:hAnsi="Keren" w:cs="David"/>
          <w:szCs w:val="20"/>
          <w:rtl/>
          <w:lang w:eastAsia="he-IL"/>
          <w14:ligatures w14:val="none"/>
        </w:rPr>
        <w:t>" (תהלים ס"ח, לו), אל תקרי ממקדשיך אלא ממקודשיך  (ויקרא י, ג).</w:t>
      </w:r>
    </w:p>
    <w:p w:rsidR="00BE723B" w:rsidRPr="00863CCE" w:rsidRDefault="00BE723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לגבי משמעות הביטוי: מדובר בדברים שהם כבשונו של עולם, והנסתרות לה' אלהינו. אך באופן פשוט ניתן לומר שמיתת צדיקים גורמת לבני האדם צער ויסורים. היסורים הם גורם מכפר, וריבונו של עולם מחשיב את היסורים לבני האדם כחלק מכפרה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כפרה:</w:instrText>
      </w:r>
      <w:r w:rsidRPr="00863CCE">
        <w:rPr>
          <w:rFonts w:ascii="Keren" w:eastAsia="Times New Roman" w:hAnsi="Keren" w:cs="David"/>
          <w:sz w:val="28"/>
          <w:szCs w:val="24"/>
          <w:rtl/>
          <w:lang w:eastAsia="he-IL"/>
          <w14:ligatures w14:val="none"/>
        </w:rPr>
        <w:instrText>יסורים"</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נוסף על כך, הצער עשוי לגרום לבני האדם לחשבון נפש ולהרהורי תשובה. הרהורי תשובה עצמם הם גורם מכפר בהיותם מגדילים את שאיפות הטוב והיושר שיש באדם. מלבד זאת, הרהורי תשובה גם עשויים להוביל את האדם למעשים טובים וישרים, מעשים כאלו שהם גורם מכפר. ניתן לסכם ולומר שאירוע של מיתת צדיקים יכול לשמש מנוף לחיזוק מוסרי ומעשי לבני האדם. </w:t>
      </w:r>
    </w:p>
    <w:p w:rsidR="00BE723B" w:rsidRPr="00863CCE" w:rsidRDefault="00BE723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הסבר נוסף שניתן לומר: אדם נשפט יחסית לסביבה שבה הוא גדל. אם הצדיק נמצא במקום, הדרישה הרוחנית ממנו ומסביבתו עולה. אפשר להביא דוגמא לכך מהאשה הצרפתית שטענה כלפי אליהו שבא להזכיר את עוונה (מלכים א', יז, יח), שעד שבא אליהו היתה נחשבת לצדקת, ולאחר שבא כבר היתה בצלו ודקדקו איתה יותר. אם הצדיק מסתלק, הרמה הרוחנית יורדת, סביבתו נחשבת כיתומה מבחינה רוחנית ולכן מתייחסים אליה בסלחנות מסוימת. </w:t>
      </w:r>
    </w:p>
    <w:p w:rsidR="00BE723B" w:rsidRPr="00863CCE" w:rsidRDefault="00BE723B" w:rsidP="00863CCE">
      <w:pPr>
        <w:autoSpaceDE w:val="0"/>
        <w:autoSpaceDN w:val="0"/>
        <w:adjustRightInd w:val="0"/>
        <w:spacing w:after="0" w:line="360" w:lineRule="auto"/>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(בישעיהו נז, א - "</w:t>
      </w:r>
      <w:r w:rsidRPr="00863CCE">
        <w:rPr>
          <w:rFonts w:ascii="Times New Roman" w:eastAsia="Times New Roman" w:hAnsi="Times New Roman" w:cs="David"/>
          <w:sz w:val="20"/>
          <w:szCs w:val="20"/>
          <w:rtl/>
          <w14:ligatures w14:val="none"/>
        </w:rPr>
        <w:t>הַצַּדִיק אָבָד וְאֵין אִישׁ שָׂם עַל לֵב וְאַנְשֵׁי חֶסֶד נֶאֱסָפִים בְּאֵין מֵבִין כִּי מִפְּנֵי הָרָעָה נֶאֱסַף הַצַּדִּיק</w:t>
      </w:r>
      <w:r w:rsidRPr="00863CCE">
        <w:rPr>
          <w:rFonts w:ascii="Keren" w:eastAsia="Times New Roman" w:hAnsi="Keren" w:cs="David"/>
          <w:szCs w:val="20"/>
          <w:rtl/>
          <w:lang w:eastAsia="he-IL"/>
          <w14:ligatures w14:val="none"/>
        </w:rPr>
        <w:t xml:space="preserve">"; ישנה התייחסות למיתת צדיקים, אך במובן אחר). </w:t>
      </w:r>
    </w:p>
    <w:p w:rsidR="00D5072B" w:rsidRDefault="00BE723B">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בקרבי אקדש.</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3B"/>
    <w:rsid w:val="000D0A23"/>
    <w:rsid w:val="002C1211"/>
    <w:rsid w:val="005C4B14"/>
    <w:rsid w:val="00AA7185"/>
    <w:rsid w:val="00B22A00"/>
    <w:rsid w:val="00BE723B"/>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A7187B-767A-415A-BEF9-A1A10A3D1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E72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E72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E723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E723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E723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E723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E723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E723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E723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E723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E723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E723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E723B"/>
    <w:rPr>
      <w:rFonts w:eastAsiaTheme="majorEastAsia" w:cstheme="majorBidi"/>
      <w:i/>
      <w:iCs/>
      <w:color w:val="0F4761" w:themeColor="accent1" w:themeShade="BF"/>
    </w:rPr>
  </w:style>
  <w:style w:type="character" w:customStyle="1" w:styleId="50">
    <w:name w:val="כותרת 5 תו"/>
    <w:basedOn w:val="a0"/>
    <w:link w:val="5"/>
    <w:uiPriority w:val="9"/>
    <w:semiHidden/>
    <w:rsid w:val="00BE723B"/>
    <w:rPr>
      <w:rFonts w:eastAsiaTheme="majorEastAsia" w:cstheme="majorBidi"/>
      <w:color w:val="0F4761" w:themeColor="accent1" w:themeShade="BF"/>
    </w:rPr>
  </w:style>
  <w:style w:type="character" w:customStyle="1" w:styleId="60">
    <w:name w:val="כותרת 6 תו"/>
    <w:basedOn w:val="a0"/>
    <w:link w:val="6"/>
    <w:uiPriority w:val="9"/>
    <w:semiHidden/>
    <w:rsid w:val="00BE723B"/>
    <w:rPr>
      <w:rFonts w:eastAsiaTheme="majorEastAsia" w:cstheme="majorBidi"/>
      <w:i/>
      <w:iCs/>
      <w:color w:val="595959" w:themeColor="text1" w:themeTint="A6"/>
    </w:rPr>
  </w:style>
  <w:style w:type="character" w:customStyle="1" w:styleId="70">
    <w:name w:val="כותרת 7 תו"/>
    <w:basedOn w:val="a0"/>
    <w:link w:val="7"/>
    <w:uiPriority w:val="9"/>
    <w:semiHidden/>
    <w:rsid w:val="00BE723B"/>
    <w:rPr>
      <w:rFonts w:eastAsiaTheme="majorEastAsia" w:cstheme="majorBidi"/>
      <w:color w:val="595959" w:themeColor="text1" w:themeTint="A6"/>
    </w:rPr>
  </w:style>
  <w:style w:type="character" w:customStyle="1" w:styleId="80">
    <w:name w:val="כותרת 8 תו"/>
    <w:basedOn w:val="a0"/>
    <w:link w:val="8"/>
    <w:uiPriority w:val="9"/>
    <w:semiHidden/>
    <w:rsid w:val="00BE723B"/>
    <w:rPr>
      <w:rFonts w:eastAsiaTheme="majorEastAsia" w:cstheme="majorBidi"/>
      <w:i/>
      <w:iCs/>
      <w:color w:val="272727" w:themeColor="text1" w:themeTint="D8"/>
    </w:rPr>
  </w:style>
  <w:style w:type="character" w:customStyle="1" w:styleId="90">
    <w:name w:val="כותרת 9 תו"/>
    <w:basedOn w:val="a0"/>
    <w:link w:val="9"/>
    <w:uiPriority w:val="9"/>
    <w:semiHidden/>
    <w:rsid w:val="00BE723B"/>
    <w:rPr>
      <w:rFonts w:eastAsiaTheme="majorEastAsia" w:cstheme="majorBidi"/>
      <w:color w:val="272727" w:themeColor="text1" w:themeTint="D8"/>
    </w:rPr>
  </w:style>
  <w:style w:type="paragraph" w:styleId="a3">
    <w:name w:val="Title"/>
    <w:basedOn w:val="a"/>
    <w:next w:val="a"/>
    <w:link w:val="a4"/>
    <w:uiPriority w:val="10"/>
    <w:qFormat/>
    <w:rsid w:val="00BE7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E72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723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E723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E723B"/>
    <w:pPr>
      <w:spacing w:before="160"/>
      <w:jc w:val="center"/>
    </w:pPr>
    <w:rPr>
      <w:i/>
      <w:iCs/>
      <w:color w:val="404040" w:themeColor="text1" w:themeTint="BF"/>
    </w:rPr>
  </w:style>
  <w:style w:type="character" w:customStyle="1" w:styleId="a8">
    <w:name w:val="ציטוט תו"/>
    <w:basedOn w:val="a0"/>
    <w:link w:val="a7"/>
    <w:uiPriority w:val="29"/>
    <w:rsid w:val="00BE723B"/>
    <w:rPr>
      <w:i/>
      <w:iCs/>
      <w:color w:val="404040" w:themeColor="text1" w:themeTint="BF"/>
    </w:rPr>
  </w:style>
  <w:style w:type="paragraph" w:styleId="a9">
    <w:name w:val="List Paragraph"/>
    <w:basedOn w:val="a"/>
    <w:uiPriority w:val="34"/>
    <w:qFormat/>
    <w:rsid w:val="00BE723B"/>
    <w:pPr>
      <w:ind w:left="720"/>
      <w:contextualSpacing/>
    </w:pPr>
  </w:style>
  <w:style w:type="character" w:styleId="aa">
    <w:name w:val="Intense Emphasis"/>
    <w:basedOn w:val="a0"/>
    <w:uiPriority w:val="21"/>
    <w:qFormat/>
    <w:rsid w:val="00BE723B"/>
    <w:rPr>
      <w:i/>
      <w:iCs/>
      <w:color w:val="0F4761" w:themeColor="accent1" w:themeShade="BF"/>
    </w:rPr>
  </w:style>
  <w:style w:type="paragraph" w:styleId="ab">
    <w:name w:val="Intense Quote"/>
    <w:basedOn w:val="a"/>
    <w:next w:val="a"/>
    <w:link w:val="ac"/>
    <w:uiPriority w:val="30"/>
    <w:qFormat/>
    <w:rsid w:val="00BE72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E723B"/>
    <w:rPr>
      <w:i/>
      <w:iCs/>
      <w:color w:val="0F4761" w:themeColor="accent1" w:themeShade="BF"/>
    </w:rPr>
  </w:style>
  <w:style w:type="character" w:styleId="ad">
    <w:name w:val="Intense Reference"/>
    <w:basedOn w:val="a0"/>
    <w:uiPriority w:val="32"/>
    <w:qFormat/>
    <w:rsid w:val="00BE72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366</Words>
  <Characters>1830</Characters>
  <Application>Microsoft Office Word</Application>
  <DocSecurity>0</DocSecurity>
  <Lines>15</Lines>
  <Paragraphs>4</Paragraphs>
  <ScaleCrop>false</ScaleCrop>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