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15E3" w:rsidRPr="00863CCE" w:rsidRDefault="001E15E3" w:rsidP="00863CCE">
      <w:pPr>
        <w:spacing w:after="0" w:line="360" w:lineRule="auto"/>
        <w:jc w:val="both"/>
        <w:outlineLvl w:val="6"/>
        <w:rPr>
          <w:rFonts w:ascii="Keren" w:eastAsia="Times New Roman" w:hAnsi="Keren" w:cs="David"/>
          <w:b/>
          <w:bCs/>
          <w:szCs w:val="20"/>
          <w:rtl/>
          <w:lang w:eastAsia="he-IL"/>
          <w14:ligatures w14:val="none"/>
        </w:rPr>
      </w:pPr>
      <w:bookmarkStart w:id="0" w:name="_Toc88530363"/>
      <w:r w:rsidRPr="00863CCE">
        <w:rPr>
          <w:rFonts w:ascii="Keren" w:eastAsia="Times New Roman" w:hAnsi="Keren" w:cs="David"/>
          <w:b/>
          <w:bCs/>
          <w:sz w:val="26"/>
          <w:szCs w:val="24"/>
          <w:rtl/>
          <w:lang w:eastAsia="he-IL"/>
          <w14:ligatures w14:val="none"/>
        </w:rPr>
        <w:t>מנהג ירושלים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"מנהג ירושלים:ערך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1E15E3" w:rsidRPr="00863CCE" w:rsidRDefault="001E15E3"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נוסף על ההלכות והדינים שנפסקו, יש הרבה חילוקי מנהגים באבלות. בירושלים ישנם מנהגים מיוחדים, ולתועלת המעיינים אספנום כאן.</w:t>
      </w:r>
    </w:p>
    <w:p w:rsidR="001E15E3" w:rsidRPr="00863CCE" w:rsidRDefault="001E15E3" w:rsidP="001E15E3">
      <w:pPr>
        <w:numPr>
          <w:ilvl w:val="0"/>
          <w:numId w:val="1"/>
        </w:num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מנהג ירושלים לקבור את הנפטר ביום פטירתו ולא להלין את המת כלל, אפילו לכבודו. כלל זה נוהג בירושלים העתיקה שבין החומות. </w:t>
      </w:r>
      <w:r w:rsidRPr="00863CCE">
        <w:rPr>
          <w:rFonts w:ascii="Keren" w:eastAsia="Times New Roman" w:hAnsi="Keren" w:cs="David"/>
          <w:b/>
          <w:bCs/>
          <w:szCs w:val="20"/>
          <w:rtl/>
          <w:lang w:eastAsia="he-IL"/>
          <w14:ligatures w14:val="none"/>
        </w:rPr>
        <w:t>הערת הרב נבנצל שליט"א</w:t>
      </w:r>
      <w:r w:rsidRPr="00863CCE">
        <w:rPr>
          <w:rFonts w:ascii="Keren" w:eastAsia="Times New Roman" w:hAnsi="Keren" w:cs="David"/>
          <w:szCs w:val="20"/>
          <w:rtl/>
          <w:lang w:eastAsia="he-IL"/>
          <w14:ligatures w14:val="none"/>
        </w:rPr>
        <w:t xml:space="preserve"> – ולהלינו בין החומות אסור מצד הדין (חוץ מבשבת).</w:t>
      </w:r>
    </w:p>
    <w:p w:rsidR="001E15E3" w:rsidRPr="00863CCE" w:rsidRDefault="001E15E3" w:rsidP="001E15E3">
      <w:pPr>
        <w:numPr>
          <w:ilvl w:val="0"/>
          <w:numId w:val="1"/>
        </w:numPr>
        <w:spacing w:after="0" w:line="360" w:lineRule="auto"/>
        <w:jc w:val="both"/>
        <w:rPr>
          <w:rFonts w:ascii="Keren" w:eastAsia="Times New Roman" w:hAnsi="Keren" w:cs="David"/>
          <w:szCs w:val="20"/>
          <w:lang w:eastAsia="he-IL"/>
          <w14:ligatures w14:val="none"/>
        </w:rPr>
      </w:pPr>
      <w:r w:rsidRPr="00863CCE">
        <w:rPr>
          <w:rFonts w:ascii="Keren" w:eastAsia="Times New Roman" w:hAnsi="Keren" w:cs="David"/>
          <w:szCs w:val="20"/>
          <w:rtl/>
          <w:lang w:eastAsia="he-IL"/>
          <w14:ligatures w14:val="none"/>
        </w:rPr>
        <w:t xml:space="preserve">מטת המת הנהוגה בירושלים עשויה משני מוטות ושמונה עשרה אונקלאות (חוליות), מקובלת בירושלים ובצפת משנות דור (גשר החיים חלק ב פרק ז, א). ע"ע </w:t>
      </w:r>
      <w:r w:rsidRPr="00863CCE">
        <w:rPr>
          <w:rFonts w:ascii="Keren" w:eastAsia="Times New Roman" w:hAnsi="Keren" w:cs="David"/>
          <w:b/>
          <w:bCs/>
          <w:szCs w:val="20"/>
          <w:rtl/>
          <w:lang w:eastAsia="he-IL"/>
          <w14:ligatures w14:val="none"/>
        </w:rPr>
        <w:t>כליבה.</w:t>
      </w:r>
    </w:p>
    <w:p w:rsidR="001E15E3" w:rsidRPr="00863CCE" w:rsidRDefault="001E15E3" w:rsidP="001E15E3">
      <w:pPr>
        <w:numPr>
          <w:ilvl w:val="0"/>
          <w:numId w:val="1"/>
        </w:numPr>
        <w:tabs>
          <w:tab w:val="left" w:pos="8306"/>
        </w:tabs>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סבא וסבתא:הליכת נכדים אחרי מיטת סבא</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מנהג ירושלים – על פי הקבלה – שצאצאיו של נפטר זכר (בניו ובנותיו נכדיו וניניו) לא הולכים אחר מיטתו. על פי מנהג זה, יש שאינם מגיעים כלל לבית הקברות - האפשרות המועדפת לפי מנהג זה; או - אם בכל זאת הצאצאים משתתפים בלוויה - שהצאצאים יגיעו לקבר עוד לפני הנפטר, כך לפחות לא ילכו אחר המיטה אלא לפניה. ע"ע </w:t>
      </w:r>
      <w:r w:rsidRPr="00863CCE">
        <w:rPr>
          <w:rFonts w:ascii="Keren" w:eastAsia="Times New Roman" w:hAnsi="Keren" w:cs="David"/>
          <w:b/>
          <w:bCs/>
          <w:szCs w:val="20"/>
          <w:rtl/>
          <w:lang w:eastAsia="he-IL"/>
          <w14:ligatures w14:val="none"/>
        </w:rPr>
        <w:t>חרם - "זרעו לא ילך אחריו".</w:t>
      </w:r>
    </w:p>
    <w:p w:rsidR="001E15E3" w:rsidRPr="00863CCE" w:rsidRDefault="001E15E3" w:rsidP="001E15E3">
      <w:pPr>
        <w:numPr>
          <w:ilvl w:val="0"/>
          <w:numId w:val="1"/>
        </w:num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מנהג ירושלים ומנהג חסידים לערוך "</w:t>
      </w:r>
      <w:r w:rsidRPr="00863CCE">
        <w:rPr>
          <w:rFonts w:ascii="Keren" w:eastAsia="Times New Roman" w:hAnsi="Keren" w:cs="David"/>
          <w:b/>
          <w:bCs/>
          <w:szCs w:val="20"/>
          <w:rtl/>
          <w:lang w:eastAsia="he-IL"/>
          <w14:ligatures w14:val="none"/>
        </w:rPr>
        <w:t>הקפות</w:t>
      </w:r>
      <w:r w:rsidRPr="00863CCE">
        <w:rPr>
          <w:rFonts w:ascii="Keren" w:eastAsia="Times New Roman" w:hAnsi="Keren" w:cs="David"/>
          <w:szCs w:val="20"/>
          <w:rtl/>
          <w:lang w:eastAsia="he-IL"/>
          <w14:ligatures w14:val="none"/>
        </w:rPr>
        <w:t xml:space="preserve">" סביב הנפטר קודם קבורתו. מטרת ההקפות היא לשמור את גוף הנפטר ונשמתו מכוחות הטומאה שעלולים להדבק בהם. ע"ע </w:t>
      </w:r>
      <w:r w:rsidRPr="00863CCE">
        <w:rPr>
          <w:rFonts w:ascii="Keren" w:eastAsia="Times New Roman" w:hAnsi="Keren" w:cs="David"/>
          <w:b/>
          <w:bCs/>
          <w:szCs w:val="20"/>
          <w:rtl/>
          <w:lang w:eastAsia="he-IL"/>
          <w14:ligatures w14:val="none"/>
        </w:rPr>
        <w:t>הקפות.</w:t>
      </w:r>
    </w:p>
    <w:p w:rsidR="001E15E3" w:rsidRPr="00863CCE" w:rsidRDefault="001E15E3" w:rsidP="001E15E3">
      <w:pPr>
        <w:numPr>
          <w:ilvl w:val="0"/>
          <w:numId w:val="1"/>
        </w:numPr>
        <w:spacing w:after="0" w:line="360" w:lineRule="auto"/>
        <w:jc w:val="both"/>
        <w:rPr>
          <w:rFonts w:ascii="Keren" w:eastAsia="Times New Roman" w:hAnsi="Keren" w:cs="David"/>
          <w:sz w:val="20"/>
          <w:szCs w:val="20"/>
          <w14:ligatures w14:val="none"/>
        </w:rPr>
      </w:pPr>
      <w:r w:rsidRPr="00863CCE">
        <w:rPr>
          <w:rFonts w:ascii="Keren" w:eastAsia="Times New Roman" w:hAnsi="Keren" w:cs="David"/>
          <w:szCs w:val="20"/>
          <w:rt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נשיאת כפים</w:instrText>
      </w:r>
      <w:r w:rsidRPr="00863CCE">
        <w:rPr>
          <w:rFonts w:ascii="Keren" w:eastAsia="Times New Roman" w:hAnsi="Keren" w:cs="David" w:hint="cs"/>
          <w:sz w:val="28"/>
          <w:szCs w:val="24"/>
          <w:lang w:eastAsia="he-IL"/>
          <w14:ligatures w14:val="none"/>
        </w:rPr>
        <w:instrText>" \t "</w:instrText>
      </w:r>
      <w:r w:rsidRPr="00863CCE">
        <w:rPr>
          <w:rFonts w:ascii="Times New Roman" w:eastAsia="Times New Roman" w:hAnsi="Times New Roman" w:cs="Times New Roman"/>
          <w:i/>
          <w:sz w:val="28"/>
          <w:szCs w:val="24"/>
          <w:rtl/>
          <w:lang w:eastAsia="he-IL"/>
          <w14:ligatures w14:val="none"/>
        </w:rPr>
        <w:instrText>ראה</w:instrText>
      </w:r>
      <w:r w:rsidRPr="00863CCE">
        <w:rPr>
          <w:rFonts w:ascii="Times New Roman" w:eastAsia="Times New Roman" w:hAnsi="Times New Roman" w:cs="Times New Roman"/>
          <w:sz w:val="28"/>
          <w:szCs w:val="24"/>
          <w:rtl/>
          <w:lang w:eastAsia="he-IL"/>
          <w14:ligatures w14:val="none"/>
        </w:rPr>
        <w:instrText xml:space="preserve"> ברכת כהנים</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14:ligatures w14:val="none"/>
        </w:rPr>
        <w:fldChar w:fldCharType="end"/>
      </w:r>
      <w:r w:rsidRPr="00863CCE">
        <w:rPr>
          <w:rFonts w:ascii="Keren" w:eastAsia="Times New Roman" w:hAnsi="Keren" w:cs="David"/>
          <w:szCs w:val="20"/>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ברכת כהנים:בבית האבל, מנהג ירושלים</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14:ligatures w14:val="none"/>
        </w:rPr>
        <w:fldChar w:fldCharType="end"/>
      </w:r>
      <w:r w:rsidRPr="00863CCE">
        <w:rPr>
          <w:rFonts w:ascii="Keren" w:eastAsia="Times New Roman" w:hAnsi="Keren" w:cs="David"/>
          <w:szCs w:val="20"/>
          <w:rtl/>
          <w14:ligatures w14:val="none"/>
        </w:rPr>
        <w:t xml:space="preserve">מנהג ירושלים ועדות המזרח שהכהנים נושאים את כפיהם בבית האבל. אבל האבל עצמו לא ישא כפיו ביום חול, ובשבת ישא כפיו כדי לא להראות אבלות בפרהסיה (גשר החיים פרק כ, ג, ה. צרור החיים פיסקה קנא). </w:t>
      </w:r>
      <w:r w:rsidRPr="00863CCE">
        <w:rPr>
          <w:rFonts w:ascii="Keren" w:eastAsia="Times New Roman" w:hAnsi="Keren" w:cs="David"/>
          <w:b/>
          <w:bCs/>
          <w:szCs w:val="20"/>
          <w:rtl/>
          <w14:ligatures w14:val="none"/>
        </w:rPr>
        <w:t>הערת הרב נבנצל שליט"א</w:t>
      </w:r>
      <w:r w:rsidRPr="00863CCE">
        <w:rPr>
          <w:rFonts w:ascii="Keren" w:eastAsia="Times New Roman" w:hAnsi="Keren" w:cs="David"/>
          <w:szCs w:val="20"/>
          <w:rt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"אבל:כהן, לשאת את כפיו"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14:ligatures w14:val="none"/>
        </w:rPr>
        <w:fldChar w:fldCharType="end"/>
      </w:r>
      <w:r w:rsidRPr="00863CCE">
        <w:rPr>
          <w:rFonts w:ascii="Keren" w:eastAsia="Times New Roman" w:hAnsi="Keren" w:cs="David"/>
          <w:szCs w:val="20"/>
          <w:rtl/>
          <w14:ligatures w14:val="none"/>
        </w:rPr>
        <w:t xml:space="preserve"> – </w:t>
      </w:r>
      <w:r w:rsidRPr="00863CCE">
        <w:rPr>
          <w:rFonts w:ascii="Keren" w:eastAsia="Times New Roman" w:hAnsi="Keren" w:cs="David"/>
          <w:szCs w:val="20"/>
          <w:rt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"כהן:לשאת כפיו בבית האבל"</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14:ligatures w14:val="none"/>
        </w:rPr>
        <w:fldChar w:fldCharType="end"/>
      </w:r>
      <w:r w:rsidRPr="00863CCE">
        <w:rPr>
          <w:rFonts w:ascii="Keren" w:eastAsia="Times New Roman" w:hAnsi="Keren" w:cs="David"/>
          <w:szCs w:val="20"/>
          <w:rtl/>
          <w14:ligatures w14:val="none"/>
        </w:rPr>
        <w:t>ויש שנהגו שגם האבל נושא כפיו, גם בחול.</w:t>
      </w:r>
    </w:p>
    <w:p w:rsidR="001E15E3" w:rsidRPr="00863CCE" w:rsidRDefault="001E15E3" w:rsidP="001E15E3">
      <w:pPr>
        <w:numPr>
          <w:ilvl w:val="0"/>
          <w:numId w:val="1"/>
        </w:numPr>
        <w:spacing w:after="0" w:line="360" w:lineRule="auto"/>
        <w:jc w:val="both"/>
        <w:rPr>
          <w:rFonts w:ascii="Keren" w:eastAsia="Times New Roman" w:hAnsi="Keren" w:cs="David"/>
          <w:sz w:val="20"/>
          <w:szCs w:val="20"/>
          <w:lang w:eastAsia="he-IL"/>
          <w14:ligatures w14:val="none"/>
        </w:rPr>
      </w:pPr>
      <w:r w:rsidRPr="00863CCE">
        <w:rPr>
          <w:rFonts w:ascii="Keren" w:eastAsia="Times New Roman" w:hAnsi="Keren" w:cs="David"/>
          <w:szCs w:val="20"/>
          <w:rtl/>
          <w:lang w:eastAsia="he-IL"/>
          <w14:ligatures w14:val="none"/>
        </w:rPr>
        <w:t xml:space="preserve">מקילים לאבל לומר </w:t>
      </w:r>
      <w:r w:rsidRPr="00863CCE">
        <w:rPr>
          <w:rFonts w:ascii="Keren" w:eastAsia="Times New Roman" w:hAnsi="Keren" w:cs="David"/>
          <w:b/>
          <w:bCs/>
          <w:szCs w:val="20"/>
          <w:rtl/>
          <w:lang w:eastAsia="he-IL"/>
          <w14:ligatures w14:val="none"/>
        </w:rPr>
        <w:t>קדיש</w:t>
      </w:r>
      <w:r w:rsidRPr="00863CCE">
        <w:rPr>
          <w:rFonts w:ascii="Keren" w:eastAsia="Times New Roman" w:hAnsi="Keren" w:cs="David"/>
          <w:szCs w:val="20"/>
          <w:rtl/>
          <w:lang w:eastAsia="he-IL"/>
          <w14:ligatures w14:val="none"/>
        </w:rPr>
        <w:t xml:space="preserve"> גם לפני הקבורה (גשר החיים פרק יח, ב, ג). אמנם בספר צרור החיים (פיסקה יז) כתב שאין דין קדיש לפני הקבורה, אבל מנהג ירושלים לומר קדיש לפני הקבורה (שם בהקדמה לפרק ה)</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אנינות</w:t>
      </w:r>
      <w:r w:rsidRPr="00863CCE">
        <w:rPr>
          <w:rFonts w:ascii="Keren" w:eastAsia="Times New Roman" w:hAnsi="Keren" w:cs="David"/>
          <w:szCs w:val="20"/>
          <w:rtl/>
          <w:lang w:eastAsia="he-IL"/>
          <w14:ligatures w14:val="none"/>
        </w:rPr>
        <w:t>.</w:t>
      </w:r>
    </w:p>
    <w:p w:rsidR="001E15E3" w:rsidRPr="00863CCE" w:rsidRDefault="001E15E3" w:rsidP="001E15E3">
      <w:pPr>
        <w:numPr>
          <w:ilvl w:val="0"/>
          <w:numId w:val="1"/>
        </w:numPr>
        <w:spacing w:after="0" w:line="360" w:lineRule="auto"/>
        <w:jc w:val="both"/>
        <w:rPr>
          <w:rFonts w:ascii="Keren" w:eastAsia="Times New Roman" w:hAnsi="Keren" w:cs="David"/>
          <w:szCs w:val="20"/>
          <w:lang w:eastAsia="he-IL"/>
          <w14:ligatures w14:val="none"/>
        </w:rPr>
      </w:pPr>
      <w:r w:rsidRPr="00863CCE">
        <w:rPr>
          <w:rFonts w:ascii="Keren" w:eastAsia="Times New Roman" w:hAnsi="Keren" w:cs="David"/>
          <w:szCs w:val="20"/>
          <w:rtl/>
          <w:lang w:eastAsia="he-IL"/>
          <w14:ligatures w14:val="none"/>
        </w:rPr>
        <w:t xml:space="preserve">יולדת שנפטרה בלידתה, מנהג ירושלים להלבישה תכריכים. אם יש בגדים הבלועים מדם הנפש, נקברים עמה (גשר החיים פרק יא, ו). ע"ע </w:t>
      </w:r>
      <w:r w:rsidRPr="00863CCE">
        <w:rPr>
          <w:rFonts w:ascii="Keren" w:eastAsia="Times New Roman" w:hAnsi="Keren" w:cs="David"/>
          <w:b/>
          <w:bCs/>
          <w:szCs w:val="20"/>
          <w:rtl/>
          <w:lang w:eastAsia="he-IL"/>
          <w14:ligatures w14:val="none"/>
        </w:rPr>
        <w:t>דם הנפש</w:t>
      </w:r>
      <w:r w:rsidRPr="00863CCE">
        <w:rPr>
          <w:rFonts w:ascii="Keren" w:eastAsia="Times New Roman" w:hAnsi="Keren" w:cs="David"/>
          <w:szCs w:val="20"/>
          <w:rtl/>
          <w:lang w:eastAsia="he-IL"/>
          <w14:ligatures w14:val="none"/>
        </w:rPr>
        <w:t>.</w:t>
      </w:r>
    </w:p>
    <w:p w:rsidR="001E15E3" w:rsidRPr="00863CCE" w:rsidRDefault="001E15E3" w:rsidP="001E15E3">
      <w:pPr>
        <w:numPr>
          <w:ilvl w:val="0"/>
          <w:numId w:val="1"/>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b/>
          <w:bCs/>
          <w:szCs w:val="20"/>
          <w:rtl/>
          <w:lang w:eastAsia="he-IL"/>
          <w14:ligatures w14:val="none"/>
        </w:rPr>
        <w:t>צידוק הדין</w:t>
      </w:r>
      <w:r w:rsidRPr="00863CCE">
        <w:rPr>
          <w:rFonts w:ascii="Keren" w:eastAsia="Times New Roman" w:hAnsi="Keren" w:cs="David"/>
          <w:szCs w:val="20"/>
          <w:rtl/>
          <w:lang w:eastAsia="he-IL"/>
          <w14:ligatures w14:val="none"/>
        </w:rPr>
        <w:t xml:space="preserve"> - עדות המזרח אומרים בכל הימים וגם בלילה. עדות המזרח שנוהגים על פי בן איש חי אין אומרים צידוק הדין בלילה. האשכנזים אין אומרים צידוק הדין בלילה, ולא בימים שאין אומרים בהם תחנון. ומנהג ירושלים שלא לומר גם בערב יום שאין אומרים בו תחנון, לאחר חצות היום (כגון בערב ראש חודש).</w:t>
      </w:r>
    </w:p>
    <w:p w:rsidR="001E15E3" w:rsidRPr="00863CCE" w:rsidRDefault="001E15E3" w:rsidP="001E15E3">
      <w:pPr>
        <w:numPr>
          <w:ilvl w:val="0"/>
          <w:numId w:val="1"/>
        </w:num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בשבת וביום טוב אין קורעים. בחול המועד יש מנהגים שונים, ובמקום שאין מנהג ברור יש לקרוע על כל הקרובים. מנהג ירושלים לקרוע בחול המועד רק על אב ואם, ועל שאר קרובים יקרעו רק במוצאי הרגל כשמתחילים לנהוג אבלות (ילקוט יוסף סימן ט, כה).</w:t>
      </w:r>
      <w:r w:rsidRPr="00863CCE">
        <w:rPr>
          <w:rFonts w:ascii="Keren" w:eastAsia="Times New Roman" w:hAnsi="Keren" w:cs="David"/>
          <w:sz w:val="20"/>
          <w:szCs w:val="20"/>
          <w:rtl/>
          <w:lang w:eastAsia="he-IL"/>
          <w14:ligatures w14:val="none"/>
        </w:rPr>
        <w:t xml:space="preserve"> ע"ע </w:t>
      </w:r>
      <w:r w:rsidRPr="00863CCE">
        <w:rPr>
          <w:rFonts w:ascii="Keren" w:eastAsia="Times New Roman" w:hAnsi="Keren" w:cs="David"/>
          <w:b/>
          <w:bCs/>
          <w:sz w:val="20"/>
          <w:szCs w:val="20"/>
          <w:rtl/>
          <w:lang w:eastAsia="he-IL"/>
          <w14:ligatures w14:val="none"/>
        </w:rPr>
        <w:t>קריעה.</w:t>
      </w:r>
    </w:p>
    <w:p w:rsidR="001E15E3" w:rsidRPr="00863CCE" w:rsidRDefault="001E15E3" w:rsidP="001E15E3">
      <w:pPr>
        <w:numPr>
          <w:ilvl w:val="0"/>
          <w:numId w:val="1"/>
        </w:numPr>
        <w:spacing w:after="0" w:line="360" w:lineRule="auto"/>
        <w:jc w:val="both"/>
        <w:rPr>
          <w:rFonts w:ascii="Keren" w:eastAsia="Times New Roman" w:hAnsi="Keren" w:cs="David"/>
          <w:sz w:val="20"/>
          <w:szCs w:val="20"/>
          <w:lang w:eastAsia="he-IL"/>
          <w14:ligatures w14:val="none"/>
        </w:rPr>
      </w:pPr>
      <w:r w:rsidRPr="00863CCE">
        <w:rPr>
          <w:rFonts w:ascii="Keren" w:eastAsia="Times New Roman" w:hAnsi="Keren" w:cs="David"/>
          <w:sz w:val="20"/>
          <w:szCs w:val="20"/>
          <w:rtl/>
          <w:lang w:eastAsia="he-IL"/>
          <w14:ligatures w14:val="none"/>
        </w:rPr>
        <w:t xml:space="preserve">מנהג ירושלים לערוך </w:t>
      </w:r>
      <w:r w:rsidRPr="00863CCE">
        <w:rPr>
          <w:rFonts w:ascii="Keren" w:eastAsia="Times New Roman" w:hAnsi="Keren" w:cs="David"/>
          <w:b/>
          <w:bCs/>
          <w:sz w:val="20"/>
          <w:szCs w:val="20"/>
          <w:rtl/>
          <w:lang w:eastAsia="he-IL"/>
          <w14:ligatures w14:val="none"/>
        </w:rPr>
        <w:t>סעודת הבראה</w:t>
      </w:r>
      <w:r w:rsidRPr="00863CCE">
        <w:rPr>
          <w:rFonts w:ascii="Keren" w:eastAsia="Times New Roman" w:hAnsi="Keren" w:cs="David"/>
          <w:sz w:val="20"/>
          <w:szCs w:val="20"/>
          <w:rtl/>
          <w:lang w:eastAsia="he-IL"/>
          <w14:ligatures w14:val="none"/>
        </w:rPr>
        <w:t xml:space="preserve"> לחברה קדישא לאחר שסיימו לקבור את הנפטר, כדי להראות שהאחראים לקבורה אסור להם לאכול סעודת קבע קודם הקבורה (גשר החיים פרק לג, ב, ב).</w:t>
      </w:r>
    </w:p>
    <w:p w:rsidR="001E15E3" w:rsidRPr="00863CCE" w:rsidRDefault="001E15E3" w:rsidP="001E15E3">
      <w:pPr>
        <w:numPr>
          <w:ilvl w:val="0"/>
          <w:numId w:val="1"/>
        </w:numPr>
        <w:spacing w:after="0" w:line="360" w:lineRule="auto"/>
        <w:jc w:val="both"/>
        <w:rPr>
          <w:rFonts w:ascii="Keren" w:eastAsia="Times New Roman" w:hAnsi="Keren" w:cs="David"/>
          <w:sz w:val="20"/>
          <w:szCs w:val="20"/>
          <w:lang w:eastAsia="he-IL"/>
          <w14:ligatures w14:val="none"/>
        </w:rPr>
      </w:pPr>
      <w:r w:rsidRPr="00863CCE">
        <w:rPr>
          <w:rFonts w:ascii="Keren" w:eastAsia="Times New Roman" w:hAnsi="Keren" w:cs="David"/>
          <w:szCs w:val="20"/>
          <w:rtl/>
          <w14:ligatures w14:val="none"/>
        </w:rPr>
        <w:t xml:space="preserve">בחול המועד מברים בקפה ועוגות ולא בביצים ועדשים. ומברים על כסאות ולא על הקרקע. ומנהג ירושלים שבחול המועד רק אבלים על הורים אוכלים </w:t>
      </w:r>
      <w:r w:rsidRPr="00863CCE">
        <w:rPr>
          <w:rFonts w:ascii="Keren" w:eastAsia="Times New Roman" w:hAnsi="Keren" w:cs="David"/>
          <w:b/>
          <w:bCs/>
          <w:szCs w:val="20"/>
          <w:rtl/>
          <w14:ligatures w14:val="none"/>
        </w:rPr>
        <w:t>סעודת הבראה</w:t>
      </w:r>
      <w:r w:rsidRPr="00863CCE">
        <w:rPr>
          <w:rFonts w:ascii="Keren" w:eastAsia="Times New Roman" w:hAnsi="Keren" w:cs="David"/>
          <w:szCs w:val="20"/>
          <w:rtl/>
          <w14:ligatures w14:val="none"/>
        </w:rPr>
        <w:t>, אבל לא על שאר קרובים</w:t>
      </w:r>
      <w:r w:rsidRPr="00863CCE">
        <w:rPr>
          <w:rFonts w:ascii="Keren" w:eastAsia="Times New Roman" w:hAnsi="Keren" w:cs="David"/>
          <w:sz w:val="26"/>
          <w:szCs w:val="24"/>
          <w:rtl/>
          <w14:ligatures w14:val="none"/>
        </w:rPr>
        <w:t xml:space="preserve"> </w:t>
      </w:r>
      <w:r w:rsidRPr="00863CCE">
        <w:rPr>
          <w:rFonts w:ascii="Keren" w:eastAsia="Times New Roman" w:hAnsi="Keren" w:cs="David"/>
          <w:szCs w:val="20"/>
          <w:rtl/>
          <w14:ligatures w14:val="none"/>
        </w:rPr>
        <w:t>(</w:t>
      </w:r>
      <w:r w:rsidRPr="00863CCE">
        <w:rPr>
          <w:rFonts w:ascii="Keren" w:eastAsia="Times New Roman" w:hAnsi="Keren" w:cs="David"/>
          <w:szCs w:val="20"/>
          <w:rtl/>
          <w:lang w:eastAsia="he-IL"/>
          <w14:ligatures w14:val="none"/>
        </w:rPr>
        <w:t>ילקוט יוסף סימן יג, י;</w:t>
      </w:r>
      <w:r w:rsidRPr="00863CCE">
        <w:rPr>
          <w:rFonts w:ascii="Keren" w:eastAsia="Times New Roman" w:hAnsi="Keren" w:cs="David"/>
          <w:szCs w:val="20"/>
          <w:rtl/>
          <w14:ligatures w14:val="none"/>
        </w:rPr>
        <w:t xml:space="preserve"> פני ברוך סימן כח, יא</w:t>
      </w:r>
      <w:r w:rsidRPr="00863CCE">
        <w:rPr>
          <w:rFonts w:ascii="Keren" w:eastAsia="Times New Roman" w:hAnsi="Keren" w:cs="David"/>
          <w:szCs w:val="20"/>
          <w:rtl/>
          <w:lang w:eastAsia="he-IL"/>
          <w14:ligatures w14:val="none"/>
        </w:rPr>
        <w:t>). אמנם בספר גשר החיים (פרק כ, ב, י) הזכיר מנהג זה בשם ספר מזבח אדמה וכתב שלא נתברר לנו מנהג זה ואין לנו מקור על זה</w:t>
      </w:r>
      <w:r w:rsidRPr="00863CCE">
        <w:rPr>
          <w:rFonts w:ascii="Keren" w:eastAsia="Times New Roman" w:hAnsi="Keren" w:cs="David"/>
          <w:sz w:val="18"/>
          <w:szCs w:val="16"/>
          <w:rtl/>
          <w:lang w:eastAsia="he-IL"/>
          <w14:ligatures w14:val="none"/>
        </w:rPr>
        <w:t>.</w:t>
      </w:r>
      <w:r w:rsidRPr="00863CCE">
        <w:rPr>
          <w:rFonts w:ascii="Keren" w:eastAsia="Times New Roman" w:hAnsi="Keren" w:cs="David"/>
          <w:sz w:val="24"/>
          <w:szCs w:val="20"/>
          <w:rtl/>
          <w:lang w:eastAsia="he-IL"/>
          <w14:ligatures w14:val="none"/>
        </w:rPr>
        <w:t xml:space="preserve"> (ובילקוט יוסף (סימן מג, פורים, א) העתיק מנהג זה גם לפורים כמו בחול המועד, ודבריו סותרים למה שכתב בסימן יג, ז, ששם כתב שאין חילוק בין אב ואם לשאר קרובים).</w:t>
      </w:r>
    </w:p>
    <w:p w:rsidR="001E15E3" w:rsidRPr="00863CCE" w:rsidRDefault="001E15E3" w:rsidP="001E15E3">
      <w:pPr>
        <w:numPr>
          <w:ilvl w:val="0"/>
          <w:numId w:val="1"/>
        </w:numPr>
        <w:spacing w:after="0" w:line="360" w:lineRule="auto"/>
        <w:jc w:val="both"/>
        <w:rPr>
          <w:rFonts w:ascii="Keren" w:eastAsia="Times New Roman" w:hAnsi="Keren" w:cs="David"/>
          <w:sz w:val="24"/>
          <w:szCs w:val="20"/>
          <w:rtl/>
          <w:lang w:eastAsia="he-IL"/>
          <w14:ligatures w14:val="none"/>
        </w:rPr>
      </w:pPr>
      <w:r w:rsidRPr="00863CCE">
        <w:rPr>
          <w:rFonts w:ascii="Keren" w:eastAsia="Times New Roman" w:hAnsi="Keren" w:cs="David"/>
          <w:szCs w:val="20"/>
          <w:rtl/>
          <w:lang w:eastAsia="he-IL"/>
          <w14:ligatures w14:val="none"/>
        </w:rPr>
        <w:t xml:space="preserve">מנהג ירושלים שאין מנגבים את הידיים אחר הנטילה ביציאה מבית הקברות (גשר החיים פרק יד, כא). </w:t>
      </w:r>
      <w:r w:rsidRPr="00863CCE">
        <w:rPr>
          <w:rFonts w:ascii="Keren" w:eastAsia="Times New Roman" w:hAnsi="Keren" w:cs="David"/>
          <w:b/>
          <w:bCs/>
          <w:szCs w:val="20"/>
          <w:rtl/>
          <w:lang w:eastAsia="he-IL"/>
          <w14:ligatures w14:val="none"/>
        </w:rPr>
        <w:t>הערת הרב נבנצל שליט"א</w:t>
      </w:r>
      <w:r w:rsidRPr="00863CCE">
        <w:rPr>
          <w:rFonts w:ascii="Keren" w:eastAsia="Times New Roman" w:hAnsi="Keren" w:cs="David"/>
          <w:szCs w:val="20"/>
          <w:rtl/>
          <w:lang w:eastAsia="he-IL"/>
          <w14:ligatures w14:val="none"/>
        </w:rPr>
        <w:t xml:space="preserve"> – והורה אדמו"ר זללה"ה (הגרש"ז אויערבך זצ"ל) שאם נטל ידיים ב' פעמים על כל יד, יכול לנגבן. </w:t>
      </w:r>
    </w:p>
    <w:p w:rsidR="001E15E3" w:rsidRPr="00863CCE" w:rsidRDefault="001E15E3" w:rsidP="001E15E3">
      <w:pPr>
        <w:numPr>
          <w:ilvl w:val="0"/>
          <w:numId w:val="1"/>
        </w:numPr>
        <w:spacing w:after="0" w:line="360" w:lineRule="auto"/>
        <w:jc w:val="both"/>
        <w:rPr>
          <w:rFonts w:ascii="Keren" w:eastAsia="Times New Roman" w:hAnsi="Keren" w:cs="David"/>
          <w:sz w:val="24"/>
          <w:szCs w:val="20"/>
          <w:lang w:eastAsia="he-IL"/>
          <w14:ligatures w14:val="none"/>
        </w:rPr>
      </w:pPr>
      <w:r w:rsidRPr="00863CCE">
        <w:rPr>
          <w:rFonts w:ascii="Keren" w:eastAsia="Times New Roman" w:hAnsi="Keren" w:cs="David"/>
          <w:szCs w:val="20"/>
          <w:rtl/>
          <w:lang w:eastAsia="he-IL"/>
          <w14:ligatures w14:val="none"/>
        </w:rPr>
        <w:t>אם נקבר יום לאחר המיתה, מנהג ירושלים שהאבל מניח בו תפילין בצנעה בלי ברכה. אבל אם נפטר בשבת ונקבר במוצאי שבת, האבל לא מניח תפילין ביום ראשון (ילקוט יוסף סימן ז, כה. וכעין זה כתב בצרור החיים פיסקה קכה).</w:t>
      </w:r>
      <w:r w:rsidRPr="00863CCE">
        <w:rPr>
          <w:rFonts w:ascii="Keren" w:eastAsia="Times New Roman" w:hAnsi="Keren" w:cs="David"/>
          <w:sz w:val="24"/>
          <w:szCs w:val="20"/>
          <w:rtl/>
          <w:lang w:eastAsia="he-IL"/>
          <w14:ligatures w14:val="none"/>
        </w:rPr>
        <w:t xml:space="preserve"> ע"ע </w:t>
      </w:r>
      <w:r w:rsidRPr="00863CCE">
        <w:rPr>
          <w:rFonts w:ascii="Keren" w:eastAsia="Times New Roman" w:hAnsi="Keren" w:cs="David"/>
          <w:b/>
          <w:bCs/>
          <w:sz w:val="24"/>
          <w:szCs w:val="20"/>
          <w:rtl/>
          <w:lang w:eastAsia="he-IL"/>
          <w14:ligatures w14:val="none"/>
        </w:rPr>
        <w:t>תפילין ביום הראשון.</w:t>
      </w:r>
    </w:p>
    <w:p w:rsidR="001E15E3" w:rsidRPr="00863CCE" w:rsidRDefault="001E15E3" w:rsidP="001E15E3">
      <w:pPr>
        <w:numPr>
          <w:ilvl w:val="0"/>
          <w:numId w:val="1"/>
        </w:numPr>
        <w:spacing w:after="0" w:line="360" w:lineRule="auto"/>
        <w:ind w:left="714" w:hanging="357"/>
        <w:jc w:val="both"/>
        <w:rPr>
          <w:rFonts w:ascii="Keren" w:eastAsia="Times New Roman" w:hAnsi="Keren" w:cs="David"/>
          <w:sz w:val="24"/>
          <w:szCs w:val="20"/>
          <w:lang w:eastAsia="he-IL"/>
          <w14:ligatures w14:val="none"/>
        </w:rPr>
      </w:pPr>
      <w:r w:rsidRPr="00863CCE">
        <w:rPr>
          <w:rFonts w:ascii="Keren" w:eastAsia="Times New Roman" w:hAnsi="Keren" w:cs="David"/>
          <w:szCs w:val="20"/>
          <w:rtl/>
          <w:lang w:eastAsia="he-IL"/>
          <w14:ligatures w14:val="none"/>
        </w:rPr>
        <w:t>אין אומרים ברכה מעין שבע בבית האבלים בערב שבת (שלחן ערוך אורח חיים סימן רסח, י), ויש מי שכתב שבירושלים נהגו לאמרה (ילקוט יוסף סימן כט, טז).</w:t>
      </w:r>
    </w:p>
    <w:p w:rsidR="001E15E3" w:rsidRPr="00863CCE" w:rsidRDefault="001E15E3" w:rsidP="001E15E3">
      <w:pPr>
        <w:numPr>
          <w:ilvl w:val="0"/>
          <w:numId w:val="1"/>
        </w:numPr>
        <w:spacing w:after="0" w:line="360" w:lineRule="auto"/>
        <w:ind w:left="714" w:hanging="357"/>
        <w:jc w:val="both"/>
        <w:rPr>
          <w:rFonts w:ascii="Keren" w:eastAsia="Times New Roman" w:hAnsi="Keren" w:cs="David"/>
          <w:sz w:val="24"/>
          <w:szCs w:val="20"/>
          <w:lang w:eastAsia="he-IL"/>
          <w14:ligatures w14:val="none"/>
        </w:rPr>
      </w:pPr>
      <w:r w:rsidRPr="00863CCE">
        <w:rPr>
          <w:rFonts w:ascii="Keren" w:eastAsia="Times New Roman" w:hAnsi="Keren" w:cs="David"/>
          <w:sz w:val="20"/>
          <w:szCs w:val="20"/>
          <w:rtl/>
          <w:lang w:eastAsia="he-IL"/>
          <w14:ligatures w14:val="none"/>
        </w:rPr>
        <w:t>מנהג ירושלים לומר שבת שלום לאבלים, כדברי הרמב"ם, שהוא מכלל דברים שבפרהסיה. (ילקוט יוסף סימן כג, ו).</w:t>
      </w:r>
    </w:p>
    <w:p w:rsidR="001E15E3" w:rsidRPr="00863CCE" w:rsidRDefault="001E15E3" w:rsidP="001E15E3">
      <w:pPr>
        <w:numPr>
          <w:ilvl w:val="0"/>
          <w:numId w:val="1"/>
        </w:numPr>
        <w:spacing w:after="0" w:line="360" w:lineRule="auto"/>
        <w:ind w:left="714" w:hanging="357"/>
        <w:jc w:val="both"/>
        <w:rPr>
          <w:rFonts w:ascii="Keren" w:eastAsia="Times New Roman" w:hAnsi="Keren" w:cs="David"/>
          <w:sz w:val="24"/>
          <w:szCs w:val="20"/>
          <w:lang w:eastAsia="he-IL"/>
          <w14:ligatures w14:val="none"/>
        </w:rPr>
      </w:pPr>
      <w:r w:rsidRPr="00863CCE">
        <w:rPr>
          <w:rFonts w:ascii="Keren" w:eastAsia="Times New Roman" w:hAnsi="Keren" w:cs="David"/>
          <w:szCs w:val="20"/>
          <w:rtl/>
          <w14:ligatures w14:val="none"/>
        </w:rPr>
        <w:t>מנהג עדות המזרח לומר הלל בראש חודש בבית האבל חוץ מאשר האבל עצמו שאינו אומר (ילקוט יוסף סימן כט, יד).</w:t>
      </w:r>
      <w:r w:rsidRPr="00863CCE">
        <w:rPr>
          <w:rFonts w:ascii="Keren" w:eastAsia="Times New Roman" w:hAnsi="Keren" w:cs="David"/>
          <w:szCs w:val="20"/>
          <w:rtl/>
          <w:lang w:eastAsia="he-IL"/>
          <w14:ligatures w14:val="none"/>
        </w:rPr>
        <w:t xml:space="preserve"> והוסיף שם שלפי מנהג ירושלים, אם מתפללים במקום שנפטר המת, הציבור יוצא לחדר אחר לקרות את ההלל וחוזר לאחר מכן. ואם נפטר בבית חולים או בבית אחר, אינם צריכים לצאת כלל.</w:t>
      </w:r>
    </w:p>
    <w:p w:rsidR="00D5072B" w:rsidRDefault="001E15E3">
      <w:r w:rsidRPr="00863CCE">
        <w:rPr>
          <w:rFonts w:ascii="Keren" w:eastAsia="Times New Roman" w:hAnsi="Keren" w:cs="David"/>
          <w:szCs w:val="20"/>
          <w:rtl/>
          <w:lang w:eastAsia="he-IL"/>
          <w14:ligatures w14:val="none"/>
        </w:rPr>
        <w:t xml:space="preserve">אסור להכניס מת לפנים מן החומה בירושלים. המקור הוא במשנה (כלים א, ז) "... מסבבין לתוכה מת עד שירצו. יצא – אין מחזירין אותו". לפי זה, אם מת לפנים מן החומה, מותר להוליכו לכבודו כמה שירצו. הגבלה זו נוהגת מחמת קדושת ירושלים. (הפרטים והגבולות המקודשים מובאים בגשר החיים פרק יד פיסקה ד, וביתר פירוט בספר "עיר הקדש והמקדש" של הרב טוקצינסקי חלק ב פרק יב).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Keren">
    <w:altName w:val="Times New Roman"/>
    <w:charset w:val="B1"/>
    <w:family w:val="auto"/>
    <w:pitch w:val="variable"/>
    <w:sig w:usb0="00001801" w:usb1="00000000" w:usb2="00000000" w:usb3="00000000" w:csb0="0000002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B0CFB"/>
    <w:multiLevelType w:val="hybridMultilevel"/>
    <w:tmpl w:val="42761E18"/>
    <w:lvl w:ilvl="0" w:tplc="62D872D0">
      <w:start w:val="1"/>
      <w:numFmt w:val="bullet"/>
      <w:lvlText w:val=""/>
      <w:lvlJc w:val="left"/>
      <w:pPr>
        <w:tabs>
          <w:tab w:val="num" w:pos="720"/>
        </w:tabs>
        <w:ind w:left="720" w:hanging="360"/>
      </w:pPr>
      <w:rPr>
        <w:rFonts w:ascii="Symbol" w:hAnsi="Symbol" w:hint="default"/>
        <w:color w:val="auto"/>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num w:numId="1" w16cid:durableId="1401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5E3"/>
    <w:rsid w:val="000D0A23"/>
    <w:rsid w:val="001E15E3"/>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D02B1D-CB96-4A36-B5A2-1B19FE7D1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E1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E1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E15E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E15E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E15E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E15E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E15E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E15E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E15E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E15E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E15E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E15E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E15E3"/>
    <w:rPr>
      <w:rFonts w:eastAsiaTheme="majorEastAsia" w:cstheme="majorBidi"/>
      <w:i/>
      <w:iCs/>
      <w:color w:val="0F4761" w:themeColor="accent1" w:themeShade="BF"/>
    </w:rPr>
  </w:style>
  <w:style w:type="character" w:customStyle="1" w:styleId="50">
    <w:name w:val="כותרת 5 תו"/>
    <w:basedOn w:val="a0"/>
    <w:link w:val="5"/>
    <w:uiPriority w:val="9"/>
    <w:semiHidden/>
    <w:rsid w:val="001E15E3"/>
    <w:rPr>
      <w:rFonts w:eastAsiaTheme="majorEastAsia" w:cstheme="majorBidi"/>
      <w:color w:val="0F4761" w:themeColor="accent1" w:themeShade="BF"/>
    </w:rPr>
  </w:style>
  <w:style w:type="character" w:customStyle="1" w:styleId="60">
    <w:name w:val="כותרת 6 תו"/>
    <w:basedOn w:val="a0"/>
    <w:link w:val="6"/>
    <w:uiPriority w:val="9"/>
    <w:semiHidden/>
    <w:rsid w:val="001E15E3"/>
    <w:rPr>
      <w:rFonts w:eastAsiaTheme="majorEastAsia" w:cstheme="majorBidi"/>
      <w:i/>
      <w:iCs/>
      <w:color w:val="595959" w:themeColor="text1" w:themeTint="A6"/>
    </w:rPr>
  </w:style>
  <w:style w:type="character" w:customStyle="1" w:styleId="70">
    <w:name w:val="כותרת 7 תו"/>
    <w:basedOn w:val="a0"/>
    <w:link w:val="7"/>
    <w:uiPriority w:val="9"/>
    <w:semiHidden/>
    <w:rsid w:val="001E15E3"/>
    <w:rPr>
      <w:rFonts w:eastAsiaTheme="majorEastAsia" w:cstheme="majorBidi"/>
      <w:color w:val="595959" w:themeColor="text1" w:themeTint="A6"/>
    </w:rPr>
  </w:style>
  <w:style w:type="character" w:customStyle="1" w:styleId="80">
    <w:name w:val="כותרת 8 תו"/>
    <w:basedOn w:val="a0"/>
    <w:link w:val="8"/>
    <w:uiPriority w:val="9"/>
    <w:semiHidden/>
    <w:rsid w:val="001E15E3"/>
    <w:rPr>
      <w:rFonts w:eastAsiaTheme="majorEastAsia" w:cstheme="majorBidi"/>
      <w:i/>
      <w:iCs/>
      <w:color w:val="272727" w:themeColor="text1" w:themeTint="D8"/>
    </w:rPr>
  </w:style>
  <w:style w:type="character" w:customStyle="1" w:styleId="90">
    <w:name w:val="כותרת 9 תו"/>
    <w:basedOn w:val="a0"/>
    <w:link w:val="9"/>
    <w:uiPriority w:val="9"/>
    <w:semiHidden/>
    <w:rsid w:val="001E15E3"/>
    <w:rPr>
      <w:rFonts w:eastAsiaTheme="majorEastAsia" w:cstheme="majorBidi"/>
      <w:color w:val="272727" w:themeColor="text1" w:themeTint="D8"/>
    </w:rPr>
  </w:style>
  <w:style w:type="paragraph" w:styleId="a3">
    <w:name w:val="Title"/>
    <w:basedOn w:val="a"/>
    <w:next w:val="a"/>
    <w:link w:val="a4"/>
    <w:uiPriority w:val="10"/>
    <w:qFormat/>
    <w:rsid w:val="001E1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E15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15E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E15E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E15E3"/>
    <w:pPr>
      <w:spacing w:before="160"/>
      <w:jc w:val="center"/>
    </w:pPr>
    <w:rPr>
      <w:i/>
      <w:iCs/>
      <w:color w:val="404040" w:themeColor="text1" w:themeTint="BF"/>
    </w:rPr>
  </w:style>
  <w:style w:type="character" w:customStyle="1" w:styleId="a8">
    <w:name w:val="ציטוט תו"/>
    <w:basedOn w:val="a0"/>
    <w:link w:val="a7"/>
    <w:uiPriority w:val="29"/>
    <w:rsid w:val="001E15E3"/>
    <w:rPr>
      <w:i/>
      <w:iCs/>
      <w:color w:val="404040" w:themeColor="text1" w:themeTint="BF"/>
    </w:rPr>
  </w:style>
  <w:style w:type="paragraph" w:styleId="a9">
    <w:name w:val="List Paragraph"/>
    <w:basedOn w:val="a"/>
    <w:uiPriority w:val="34"/>
    <w:qFormat/>
    <w:rsid w:val="001E15E3"/>
    <w:pPr>
      <w:ind w:left="720"/>
      <w:contextualSpacing/>
    </w:pPr>
  </w:style>
  <w:style w:type="character" w:styleId="aa">
    <w:name w:val="Intense Emphasis"/>
    <w:basedOn w:val="a0"/>
    <w:uiPriority w:val="21"/>
    <w:qFormat/>
    <w:rsid w:val="001E15E3"/>
    <w:rPr>
      <w:i/>
      <w:iCs/>
      <w:color w:val="0F4761" w:themeColor="accent1" w:themeShade="BF"/>
    </w:rPr>
  </w:style>
  <w:style w:type="paragraph" w:styleId="ab">
    <w:name w:val="Intense Quote"/>
    <w:basedOn w:val="a"/>
    <w:next w:val="a"/>
    <w:link w:val="ac"/>
    <w:uiPriority w:val="30"/>
    <w:qFormat/>
    <w:rsid w:val="001E1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E15E3"/>
    <w:rPr>
      <w:i/>
      <w:iCs/>
      <w:color w:val="0F4761" w:themeColor="accent1" w:themeShade="BF"/>
    </w:rPr>
  </w:style>
  <w:style w:type="character" w:styleId="ad">
    <w:name w:val="Intense Reference"/>
    <w:basedOn w:val="a0"/>
    <w:uiPriority w:val="32"/>
    <w:qFormat/>
    <w:rsid w:val="001E15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696</Words>
  <Characters>3483</Characters>
  <Application>Microsoft Office Word</Application>
  <DocSecurity>0</DocSecurity>
  <Lines>29</Lines>
  <Paragraphs>8</Paragraphs>
  <ScaleCrop>false</ScaleCrop>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