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762F8" w:rsidRPr="00863CCE" w:rsidRDefault="008762F8" w:rsidP="00863CCE">
      <w:pPr>
        <w:spacing w:after="0" w:line="360" w:lineRule="auto"/>
        <w:jc w:val="both"/>
        <w:outlineLvl w:val="6"/>
        <w:rPr>
          <w:rFonts w:ascii="Keren" w:eastAsia="Times New Roman" w:hAnsi="Keren" w:cs="David"/>
          <w:b/>
          <w:bCs/>
          <w:szCs w:val="20"/>
          <w:rtl/>
          <w14:ligatures w14:val="none"/>
        </w:rPr>
      </w:pPr>
      <w:bookmarkStart w:id="0" w:name="_Toc88530366"/>
      <w:r w:rsidRPr="00863CCE">
        <w:rPr>
          <w:rFonts w:ascii="Keren" w:eastAsia="Times New Roman" w:hAnsi="Keren" w:cs="David"/>
          <w:b/>
          <w:bCs/>
          <w:sz w:val="26"/>
          <w:szCs w:val="24"/>
          <w:rtl/>
          <w14:ligatures w14:val="none"/>
        </w:rPr>
        <w:t>מעבירים את המת מלפני הכלה</w:t>
      </w:r>
      <w:bookmarkEnd w:id="0"/>
      <w:r w:rsidRPr="00863CCE">
        <w:rPr>
          <w:rFonts w:ascii="Keren" w:eastAsia="Times New Roman" w:hAnsi="Keren" w:cs="David"/>
          <w:b/>
          <w:bCs/>
          <w:sz w:val="26"/>
          <w:szCs w:val="24"/>
          <w:rt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w:instrText>
      </w:r>
      <w:r w:rsidRPr="00863CCE">
        <w:rPr>
          <w:rFonts w:ascii="Keren" w:eastAsia="Times New Roman" w:hAnsi="Keren" w:cs="David"/>
          <w:b/>
          <w:bCs/>
          <w:sz w:val="26"/>
          <w:szCs w:val="24"/>
          <w:rtl/>
          <w14:ligatures w14:val="none"/>
        </w:rPr>
        <w:instrText>מעבירים את המת מלפני הכלה:</w:instrText>
      </w:r>
      <w:r w:rsidRPr="00863CCE">
        <w:rPr>
          <w:rFonts w:ascii="Keren" w:eastAsia="Times New Roman" w:hAnsi="Keren" w:cs="David"/>
          <w:b/>
          <w:bCs/>
          <w:sz w:val="26"/>
          <w:szCs w:val="24"/>
          <w:rtl/>
          <w:lang w:eastAsia="he-IL"/>
          <w14:ligatures w14:val="none"/>
        </w:rPr>
        <w:instrText>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14:ligatures w14:val="none"/>
        </w:rPr>
        <w:fldChar w:fldCharType="end"/>
      </w:r>
    </w:p>
    <w:p w:rsidR="008762F8" w:rsidRPr="00863CCE" w:rsidRDefault="008762F8" w:rsidP="00863CCE">
      <w:pPr>
        <w:tabs>
          <w:tab w:val="left" w:pos="8306"/>
        </w:tabs>
        <w:spacing w:after="0" w:line="360" w:lineRule="auto"/>
        <w:ind w:left="26"/>
        <w:jc w:val="both"/>
        <w:rPr>
          <w:rFonts w:ascii="Keren" w:eastAsia="Times New Roman" w:hAnsi="Keren" w:cs="David"/>
          <w:sz w:val="20"/>
          <w:szCs w:val="20"/>
          <w:rtl/>
          <w14:ligatures w14:val="none"/>
        </w:rPr>
      </w:pPr>
      <w:r w:rsidRPr="00863CCE">
        <w:rPr>
          <w:rFonts w:ascii="Keren" w:eastAsia="Times New Roman" w:hAnsi="Keren" w:cs="David"/>
          <w:szCs w:val="20"/>
          <w:rtl/>
          <w14:ligatures w14:val="none"/>
        </w:rPr>
        <w:t>כלל הלכתי המובא בגמרא</w:t>
      </w:r>
      <w:r w:rsidRPr="00863CCE">
        <w:rPr>
          <w:rFonts w:ascii="Keren" w:eastAsia="Times New Roman" w:hAnsi="Keren" w:cs="David"/>
          <w:b/>
          <w:bCs/>
          <w:szCs w:val="20"/>
          <w:rtl/>
          <w14:ligatures w14:val="none"/>
        </w:rPr>
        <w:t xml:space="preserve"> </w:t>
      </w:r>
      <w:r w:rsidRPr="00863CCE">
        <w:rPr>
          <w:rFonts w:ascii="Keren" w:eastAsia="Times New Roman" w:hAnsi="Keren" w:cs="David"/>
          <w:szCs w:val="20"/>
          <w:rtl/>
          <w14:ligatures w14:val="none"/>
        </w:rPr>
        <w:t>(כתובות יז, א), ונפסק גם להלכה (טור ושלחן ערוך יורה דעה סימן שס). חכמים רצו ללמד עיקרון ונתנו דוגמא כדי להמחיש זאת. כגון שבאה לוויה מצד אחד וכלה מצד שני, באותו הרחוב ממש, בו זמנית. אי אפשר שיעברו שניהם יחד באותו הרחוב, באותו זמן. בלתי אפשרי לעמת באותו מקום ובאותו זמן, רגשות קטביים כאלו. שיאים של צער ויגון מחד גיסא, עם מצהלות חתנים, גילה רינה דיצה וחדוה מאידך גיסא. גם מבחינה מעשית אין מקום לכל הקהל ולפמליות המלוות. אחד הצדדים מוכרח לפנות את מקומו, ולהשאיר את הבמה לזולתו באופן בלעדי. ישנו קושי נפשי עצום לעשות זאת כיון שלכל אחד מהארועים ישנה משמעות רגשית עמוקה ביותר. ונשאלת השאלה: במצב כזה, מי צריך לפנות את מקומו? למי יש זכות קדימה?</w:t>
      </w:r>
    </w:p>
    <w:p w:rsidR="008762F8" w:rsidRPr="00863CCE" w:rsidRDefault="008762F8" w:rsidP="00863CCE">
      <w:pPr>
        <w:tabs>
          <w:tab w:val="left" w:pos="8306"/>
        </w:tabs>
        <w:spacing w:after="0" w:line="360" w:lineRule="auto"/>
        <w:jc w:val="both"/>
        <w:rPr>
          <w:rFonts w:ascii="Keren" w:eastAsia="Times New Roman" w:hAnsi="Keren" w:cs="David"/>
          <w:szCs w:val="20"/>
          <w14:ligatures w14:val="none"/>
        </w:rPr>
      </w:pPr>
      <w:r w:rsidRPr="00863CCE">
        <w:rPr>
          <w:rFonts w:ascii="Keren" w:eastAsia="Times New Roman" w:hAnsi="Keren" w:cs="David"/>
          <w:szCs w:val="20"/>
          <w:rtl/>
          <w14:ligatures w14:val="none"/>
        </w:rPr>
        <w:t>הכלל שקבעו חכמים הוא "</w:t>
      </w:r>
      <w:r w:rsidRPr="00863CCE">
        <w:rPr>
          <w:rFonts w:ascii="Keren" w:eastAsia="Times New Roman" w:hAnsi="Keren" w:cs="David"/>
          <w:b/>
          <w:bCs/>
          <w:szCs w:val="20"/>
          <w:rtl/>
          <w14:ligatures w14:val="none"/>
        </w:rPr>
        <w:t>מעבירים את המת מלפני הכלה</w:t>
      </w:r>
      <w:r w:rsidRPr="00863CCE">
        <w:rPr>
          <w:rFonts w:ascii="Keren" w:eastAsia="Times New Roman" w:hAnsi="Keren" w:cs="David"/>
          <w:szCs w:val="20"/>
          <w:rtl/>
          <w14:ligatures w14:val="none"/>
        </w:rPr>
        <w:t>". הלוויה עוברת לרחוב אחר כדי לאפשר את שמחתה של הכלה באופן מלא. מעבר להתייחסות הנקודתית למקרה המסוים, חכמים גם באו לקבוע עיקרון כולל: צריך להגביר ולחזק את רגשות השמחה, גם כשיש רגשות צער ואבלות. החיים צריכים להמשך. צריך להמשיך, ובשמחה.</w:t>
      </w:r>
    </w:p>
    <w:p w:rsidR="008762F8" w:rsidRPr="00863CCE" w:rsidRDefault="008762F8" w:rsidP="00863CCE">
      <w:pPr>
        <w:spacing w:after="0" w:line="360" w:lineRule="auto"/>
        <w:ind w:left="26"/>
        <w:jc w:val="both"/>
        <w:rPr>
          <w:rFonts w:ascii="Keren" w:eastAsia="Times New Roman" w:hAnsi="Keren" w:cs="David"/>
          <w:szCs w:val="20"/>
          <w:rtl/>
          <w14:ligatures w14:val="none"/>
        </w:rPr>
      </w:pPr>
      <w:r w:rsidRPr="00863CCE">
        <w:rPr>
          <w:rFonts w:ascii="Keren" w:eastAsia="Times New Roman" w:hAnsi="Keren" w:cs="David"/>
          <w:szCs w:val="20"/>
          <w:rtl/>
          <w14:ligatures w14:val="none"/>
        </w:rPr>
        <w:t>גם באבלות של כלל ישראל חכמים לימדונו שאדם סד את ביתו כדי שיהיה יפה ומקושט, אך יש להשאיר אמה על אמה לא מסוידת כנגד הפתח זכר לחורבן. אותו העיקרון - ממשיכים, ומתחתנים, ובונים בתים יפים ומקשטים ומסיידים אותם. בתוך כל זה משאירים את הפינה של זכר לחורבן, במקום בולט כדי שלא נשכח. אבל הכלל הוא להמשיך בחיים מתוך בניין של שמחה.</w:t>
      </w:r>
    </w:p>
    <w:p w:rsidR="008762F8" w:rsidRPr="00863CCE" w:rsidRDefault="008762F8" w:rsidP="00863CCE">
      <w:pPr>
        <w:autoSpaceDE w:val="0"/>
        <w:autoSpaceDN w:val="0"/>
        <w:adjustRightInd w:val="0"/>
        <w:spacing w:after="0" w:line="360" w:lineRule="auto"/>
        <w:jc w:val="both"/>
        <w:rPr>
          <w:rFonts w:ascii="Keren" w:eastAsia="Times New Roman" w:hAnsi="Keren" w:cs="David"/>
          <w:szCs w:val="20"/>
          <w:rtl/>
          <w14:ligatures w14:val="none"/>
        </w:rPr>
      </w:pPr>
      <w:r w:rsidRPr="00863CCE">
        <w:rPr>
          <w:rFonts w:ascii="Keren" w:eastAsia="Times New Roman" w:hAnsi="Keren" w:cs="David"/>
          <w:szCs w:val="20"/>
          <w:rtl/>
          <w14:ligatures w14:val="none"/>
        </w:rPr>
        <w:t xml:space="preserve">העיקרון ההלכתי מורכב וכפול, ונראה כסותר את עצמו: </w:t>
      </w:r>
    </w:p>
    <w:p w:rsidR="008762F8" w:rsidRPr="00863CCE" w:rsidRDefault="008762F8" w:rsidP="00863CCE">
      <w:pPr>
        <w:autoSpaceDE w:val="0"/>
        <w:autoSpaceDN w:val="0"/>
        <w:adjustRightInd w:val="0"/>
        <w:spacing w:after="0" w:line="360" w:lineRule="auto"/>
        <w:ind w:left="432"/>
        <w:jc w:val="both"/>
        <w:rPr>
          <w:rFonts w:ascii="Keren" w:eastAsia="Times New Roman" w:hAnsi="Keren" w:cs="David"/>
          <w:szCs w:val="20"/>
          <w:rtl/>
          <w14:ligatures w14:val="none"/>
        </w:rPr>
      </w:pPr>
      <w:r w:rsidRPr="00863CCE">
        <w:rPr>
          <w:rFonts w:ascii="Keren" w:eastAsia="Times New Roman" w:hAnsi="Keren" w:cs="David"/>
          <w:szCs w:val="20"/>
          <w:rtl/>
          <w14:ligatures w14:val="none"/>
        </w:rPr>
        <w:t>מי שהיה לפניו מת וכלה, מניח את הכלה ומתעסק עם המת. וכן הוא אומר "</w:t>
      </w:r>
      <w:r w:rsidRPr="00863CCE">
        <w:rPr>
          <w:rFonts w:ascii="Keren" w:eastAsia="Times New Roman" w:hAnsi="Keren" w:cs="David"/>
          <w:color w:val="000000"/>
          <w:sz w:val="20"/>
          <w:szCs w:val="20"/>
          <w:rtl/>
          <w:lang w:eastAsia="he-IL"/>
          <w14:ligatures w14:val="none"/>
        </w:rPr>
        <w:t>לֵב חֲכָמִים בְּבֵית אֵבֶל וְלֵב כְּסִילִים בְּבֵית שִׂמְחָה</w:t>
      </w:r>
      <w:r w:rsidRPr="00863CCE">
        <w:rPr>
          <w:rFonts w:ascii="Keren" w:eastAsia="Times New Roman" w:hAnsi="Keren" w:cs="David"/>
          <w:szCs w:val="20"/>
          <w:rtl/>
          <w14:ligatures w14:val="none"/>
        </w:rPr>
        <w:t>" (קהלת ז, ד) (רמב"ם הלכות אבל פרק יד, ח).</w:t>
      </w:r>
    </w:p>
    <w:p w:rsidR="008762F8" w:rsidRPr="00863CCE" w:rsidRDefault="008762F8" w:rsidP="00863CCE">
      <w:pPr>
        <w:autoSpaceDE w:val="0"/>
        <w:autoSpaceDN w:val="0"/>
        <w:adjustRightInd w:val="0"/>
        <w:spacing w:after="0" w:line="360" w:lineRule="auto"/>
        <w:jc w:val="both"/>
        <w:rPr>
          <w:rFonts w:ascii="Keren" w:eastAsia="Times New Roman" w:hAnsi="Keren" w:cs="David"/>
          <w:szCs w:val="20"/>
          <w:rtl/>
          <w14:ligatures w14:val="none"/>
        </w:rPr>
      </w:pPr>
      <w:r w:rsidRPr="00863CCE">
        <w:rPr>
          <w:rFonts w:ascii="Keren" w:eastAsia="Times New Roman" w:hAnsi="Keren" w:cs="David"/>
          <w:szCs w:val="20"/>
          <w:rtl/>
          <w14:ligatures w14:val="none"/>
        </w:rPr>
        <w:t>ומאידך:</w:t>
      </w:r>
    </w:p>
    <w:p w:rsidR="008762F8" w:rsidRPr="00863CCE" w:rsidRDefault="008762F8" w:rsidP="00863CCE">
      <w:pPr>
        <w:autoSpaceDE w:val="0"/>
        <w:autoSpaceDN w:val="0"/>
        <w:adjustRightInd w:val="0"/>
        <w:spacing w:after="0" w:line="360" w:lineRule="auto"/>
        <w:ind w:left="432"/>
        <w:jc w:val="both"/>
        <w:rPr>
          <w:rFonts w:ascii="Keren" w:eastAsia="Times New Roman" w:hAnsi="Keren" w:cs="David"/>
          <w:szCs w:val="20"/>
          <w:rtl/>
          <w14:ligatures w14:val="none"/>
        </w:rPr>
      </w:pPr>
      <w:r w:rsidRPr="00863CCE">
        <w:rPr>
          <w:rFonts w:ascii="Keren" w:eastAsia="Times New Roman" w:hAnsi="Keren" w:cs="David"/>
          <w:szCs w:val="20"/>
          <w:rtl/>
          <w14:ligatures w14:val="none"/>
        </w:rPr>
        <w:t xml:space="preserve">מת וכלה שפגעו זה בזה בדרך, מעבירין את המת מלפני הכלה (רמב"ם שם). </w:t>
      </w:r>
    </w:p>
    <w:p w:rsidR="00D5072B" w:rsidRDefault="008762F8">
      <w:r w:rsidRPr="00863CCE">
        <w:rPr>
          <w:rFonts w:ascii="Keren" w:eastAsia="Times New Roman" w:hAnsi="Keren" w:cs="David"/>
          <w:szCs w:val="20"/>
          <w:rtl/>
          <w14:ligatures w14:val="none"/>
        </w:rPr>
        <w:t>המקור להעדפת המת לקוח מברייתא במסכת שמחות: "בית האבל ובית המשתה, בית האבל קודם". ישנם כמה הסברים כיצד לשלב את שני המאמרים. לפי הרמב"ן יש להעדיף את הכלה בזמן החופה, ואת סעודת האבל על פני בית המשתה לאחר החופה (תורת האדם עמוד קט). ויש מי שכתב שכבוד הכלה קודם ולכן מקדימים אותה, שכבוד החי עדיף מכבוד המת. אבל כשיש צורך לעסוק באחת המצוות עדיף לעסוק בקבורת המת. ודווקא כשיש מי שיעסקו גם בהכנסת הכלה לחופה. אבל אם יש אפשרות לקיים רק אחת משתי המצוות, כבוד החיים קודם ויש להעדיף הכנסת כלה (לחם משנה על הרמב"ם שם; שלחן ערוך שם סימן שס; ילקוט יוסף סימן י, ח). כלומר, כבוד החיים קודם, ועקרונית יש להעדיף הכנסת כלה על פני לווית המת. אבל באופן פרטי יש לו לאדם להקדים ולעסוק במת. וכמו שכתוב במסכת שמחות (פרק יב): "אבל חסידים הראשונים היו מקדימים לבית האבל מלבית המשתה, שנאמר "</w:t>
      </w:r>
      <w:r w:rsidRPr="00863CCE">
        <w:rPr>
          <w:rFonts w:ascii="Keren" w:eastAsia="Times New Roman" w:hAnsi="Keren" w:cs="David"/>
          <w:sz w:val="20"/>
          <w:szCs w:val="20"/>
          <w:rtl/>
          <w:lang w:eastAsia="he-IL"/>
          <w14:ligatures w14:val="none"/>
        </w:rPr>
        <w:t>טוֹב לָלֶכֶת אֶל בֵּית אֵבֶל מִלֶּכֶת אֶל בֵּית מִשְׁתֶּה, בַּאֲשֶׁר הוּא סוֹף כָּל הָאָדָם וְהַחַי יִתֵּן אֶל לִבּוֹ</w:t>
      </w:r>
      <w:r w:rsidRPr="00863CCE">
        <w:rPr>
          <w:rFonts w:ascii="Keren" w:eastAsia="Times New Roman" w:hAnsi="Keren" w:cs="David"/>
          <w:szCs w:val="20"/>
          <w:rtl/>
          <w14:ligatures w14:val="none"/>
        </w:rPr>
        <w:t>" (קהלת ז, ב).</w:t>
      </w:r>
      <w:r w:rsidRPr="00863CCE">
        <w:rPr>
          <w:rFonts w:ascii="Keren" w:eastAsia="Times New Roman" w:hAnsi="Keren" w:cs="David"/>
          <w:sz w:val="20"/>
          <w:szCs w:val="20"/>
          <w:rtl/>
          <w:lang w:eastAsia="he-IL"/>
          <w14:ligatures w14:val="none"/>
        </w:rPr>
        <w:t xml:space="preserve"> ע"ע </w:t>
      </w:r>
      <w:r w:rsidRPr="00863CCE">
        <w:rPr>
          <w:rFonts w:ascii="Keren" w:eastAsia="Times New Roman" w:hAnsi="Keren" w:cs="David"/>
          <w:b/>
          <w:bCs/>
          <w:sz w:val="20"/>
          <w:szCs w:val="20"/>
          <w:rtl/>
          <w:lang w:eastAsia="he-IL"/>
          <w14:ligatures w14:val="none"/>
        </w:rPr>
        <w:t>כבוד המת.</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2F8"/>
    <w:rsid w:val="000D0A23"/>
    <w:rsid w:val="002C1211"/>
    <w:rsid w:val="005C4B14"/>
    <w:rsid w:val="008762F8"/>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A80E2D-0AE9-4839-8FB4-F8556323F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762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762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762F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762F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762F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762F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762F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762F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762F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8762F8"/>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8762F8"/>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8762F8"/>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8762F8"/>
    <w:rPr>
      <w:rFonts w:eastAsiaTheme="majorEastAsia" w:cstheme="majorBidi"/>
      <w:i/>
      <w:iCs/>
      <w:color w:val="0F4761" w:themeColor="accent1" w:themeShade="BF"/>
    </w:rPr>
  </w:style>
  <w:style w:type="character" w:customStyle="1" w:styleId="50">
    <w:name w:val="כותרת 5 תו"/>
    <w:basedOn w:val="a0"/>
    <w:link w:val="5"/>
    <w:uiPriority w:val="9"/>
    <w:semiHidden/>
    <w:rsid w:val="008762F8"/>
    <w:rPr>
      <w:rFonts w:eastAsiaTheme="majorEastAsia" w:cstheme="majorBidi"/>
      <w:color w:val="0F4761" w:themeColor="accent1" w:themeShade="BF"/>
    </w:rPr>
  </w:style>
  <w:style w:type="character" w:customStyle="1" w:styleId="60">
    <w:name w:val="כותרת 6 תו"/>
    <w:basedOn w:val="a0"/>
    <w:link w:val="6"/>
    <w:uiPriority w:val="9"/>
    <w:semiHidden/>
    <w:rsid w:val="008762F8"/>
    <w:rPr>
      <w:rFonts w:eastAsiaTheme="majorEastAsia" w:cstheme="majorBidi"/>
      <w:i/>
      <w:iCs/>
      <w:color w:val="595959" w:themeColor="text1" w:themeTint="A6"/>
    </w:rPr>
  </w:style>
  <w:style w:type="character" w:customStyle="1" w:styleId="70">
    <w:name w:val="כותרת 7 תו"/>
    <w:basedOn w:val="a0"/>
    <w:link w:val="7"/>
    <w:uiPriority w:val="9"/>
    <w:semiHidden/>
    <w:rsid w:val="008762F8"/>
    <w:rPr>
      <w:rFonts w:eastAsiaTheme="majorEastAsia" w:cstheme="majorBidi"/>
      <w:color w:val="595959" w:themeColor="text1" w:themeTint="A6"/>
    </w:rPr>
  </w:style>
  <w:style w:type="character" w:customStyle="1" w:styleId="80">
    <w:name w:val="כותרת 8 תו"/>
    <w:basedOn w:val="a0"/>
    <w:link w:val="8"/>
    <w:uiPriority w:val="9"/>
    <w:semiHidden/>
    <w:rsid w:val="008762F8"/>
    <w:rPr>
      <w:rFonts w:eastAsiaTheme="majorEastAsia" w:cstheme="majorBidi"/>
      <w:i/>
      <w:iCs/>
      <w:color w:val="272727" w:themeColor="text1" w:themeTint="D8"/>
    </w:rPr>
  </w:style>
  <w:style w:type="character" w:customStyle="1" w:styleId="90">
    <w:name w:val="כותרת 9 תו"/>
    <w:basedOn w:val="a0"/>
    <w:link w:val="9"/>
    <w:uiPriority w:val="9"/>
    <w:semiHidden/>
    <w:rsid w:val="008762F8"/>
    <w:rPr>
      <w:rFonts w:eastAsiaTheme="majorEastAsia" w:cstheme="majorBidi"/>
      <w:color w:val="272727" w:themeColor="text1" w:themeTint="D8"/>
    </w:rPr>
  </w:style>
  <w:style w:type="paragraph" w:styleId="a3">
    <w:name w:val="Title"/>
    <w:basedOn w:val="a"/>
    <w:next w:val="a"/>
    <w:link w:val="a4"/>
    <w:uiPriority w:val="10"/>
    <w:qFormat/>
    <w:rsid w:val="008762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8762F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762F8"/>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8762F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762F8"/>
    <w:pPr>
      <w:spacing w:before="160"/>
      <w:jc w:val="center"/>
    </w:pPr>
    <w:rPr>
      <w:i/>
      <w:iCs/>
      <w:color w:val="404040" w:themeColor="text1" w:themeTint="BF"/>
    </w:rPr>
  </w:style>
  <w:style w:type="character" w:customStyle="1" w:styleId="a8">
    <w:name w:val="ציטוט תו"/>
    <w:basedOn w:val="a0"/>
    <w:link w:val="a7"/>
    <w:uiPriority w:val="29"/>
    <w:rsid w:val="008762F8"/>
    <w:rPr>
      <w:i/>
      <w:iCs/>
      <w:color w:val="404040" w:themeColor="text1" w:themeTint="BF"/>
    </w:rPr>
  </w:style>
  <w:style w:type="paragraph" w:styleId="a9">
    <w:name w:val="List Paragraph"/>
    <w:basedOn w:val="a"/>
    <w:uiPriority w:val="34"/>
    <w:qFormat/>
    <w:rsid w:val="008762F8"/>
    <w:pPr>
      <w:ind w:left="720"/>
      <w:contextualSpacing/>
    </w:pPr>
  </w:style>
  <w:style w:type="character" w:styleId="aa">
    <w:name w:val="Intense Emphasis"/>
    <w:basedOn w:val="a0"/>
    <w:uiPriority w:val="21"/>
    <w:qFormat/>
    <w:rsid w:val="008762F8"/>
    <w:rPr>
      <w:i/>
      <w:iCs/>
      <w:color w:val="0F4761" w:themeColor="accent1" w:themeShade="BF"/>
    </w:rPr>
  </w:style>
  <w:style w:type="paragraph" w:styleId="ab">
    <w:name w:val="Intense Quote"/>
    <w:basedOn w:val="a"/>
    <w:next w:val="a"/>
    <w:link w:val="ac"/>
    <w:uiPriority w:val="30"/>
    <w:qFormat/>
    <w:rsid w:val="008762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8762F8"/>
    <w:rPr>
      <w:i/>
      <w:iCs/>
      <w:color w:val="0F4761" w:themeColor="accent1" w:themeShade="BF"/>
    </w:rPr>
  </w:style>
  <w:style w:type="character" w:styleId="ad">
    <w:name w:val="Intense Reference"/>
    <w:basedOn w:val="a0"/>
    <w:uiPriority w:val="32"/>
    <w:qFormat/>
    <w:rsid w:val="008762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423</Words>
  <Characters>2118</Characters>
  <Application>Microsoft Office Word</Application>
  <DocSecurity>0</DocSecurity>
  <Lines>17</Lines>
  <Paragraphs>5</Paragraphs>
  <ScaleCrop>false</ScaleCrop>
  <Company/>
  <LinksUpToDate>false</LinksUpToDate>
  <CharactersWithSpaces>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2025-12-04T23:12:00Z</dcterms:created>
  <dcterms:modified xsi:type="dcterms:W3CDTF">2025-12-04T23:12:00Z</dcterms:modified>
</cp:coreProperties>
</file>