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1844" w:rsidRPr="00863CCE" w:rsidRDefault="000B1844" w:rsidP="00863CCE">
      <w:pPr>
        <w:spacing w:after="0" w:line="360" w:lineRule="auto"/>
        <w:jc w:val="both"/>
        <w:outlineLvl w:val="6"/>
        <w:rPr>
          <w:rFonts w:ascii="Keren" w:eastAsia="Times New Roman" w:hAnsi="Keren" w:cs="David"/>
          <w:b/>
          <w:bCs/>
          <w:szCs w:val="20"/>
          <w:rtl/>
          <w14:ligatures w14:val="none"/>
        </w:rPr>
      </w:pPr>
      <w:bookmarkStart w:id="0" w:name="_Toc88530367"/>
      <w:r w:rsidRPr="00863CCE">
        <w:rPr>
          <w:rFonts w:ascii="Keren" w:eastAsia="Times New Roman" w:hAnsi="Keren" w:cs="David"/>
          <w:b/>
          <w:bCs/>
          <w:sz w:val="26"/>
          <w:szCs w:val="24"/>
          <w:rtl/>
          <w14:ligatures w14:val="none"/>
        </w:rPr>
        <w:t>מעבר</w:t>
      </w:r>
      <w:r w:rsidRPr="00863CCE">
        <w:rPr>
          <w:rFonts w:ascii="Keren" w:eastAsia="Times New Roman" w:hAnsi="Keren" w:cs="David"/>
          <w:b/>
          <w:bCs/>
          <w:color w:val="000000"/>
          <w:sz w:val="24"/>
          <w:szCs w:val="24"/>
          <w:rtl/>
          <w:lang w:eastAsia="he-IL"/>
          <w14:ligatures w14:val="none"/>
        </w:rPr>
        <w:t xml:space="preserve"> יַבֹּק</w:t>
      </w:r>
      <w:bookmarkEnd w:id="0"/>
      <w:r w:rsidRPr="00863CCE">
        <w:rPr>
          <w:rFonts w:ascii="Keren" w:eastAsia="Times New Roman" w:hAnsi="Keren" w:cs="David"/>
          <w:b/>
          <w:bCs/>
          <w:sz w:val="30"/>
          <w:szCs w:val="28"/>
          <w:rtl/>
          <w14:ligatures w14:val="none"/>
        </w:rPr>
        <w:t xml:space="preserve"> </w:t>
      </w:r>
      <w:r w:rsidRPr="00863CCE">
        <w:rPr>
          <w:rFonts w:ascii="Keren" w:eastAsia="Times New Roman" w:hAnsi="Keren" w:cs="David"/>
          <w:b/>
          <w:bCs/>
          <w:sz w:val="26"/>
          <w:szCs w:val="24"/>
          <w:rt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b/>
          <w:bCs/>
          <w:sz w:val="26"/>
          <w:szCs w:val="24"/>
          <w:rtl/>
          <w14:ligatures w14:val="none"/>
        </w:rPr>
        <w:instrText>מעבר יבק:</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14:ligatures w14:val="none"/>
        </w:rPr>
        <w:fldChar w:fldCharType="end"/>
      </w:r>
      <w:r w:rsidRPr="00863CCE">
        <w:rPr>
          <w:rFonts w:ascii="Keren" w:eastAsia="Times New Roman" w:hAnsi="Keren" w:cs="David"/>
          <w:b/>
          <w:bCs/>
          <w:sz w:val="26"/>
          <w:szCs w:val="24"/>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14:ligatures w14:val="none"/>
        </w:rPr>
        <w:fldChar w:fldCharType="end"/>
      </w:r>
    </w:p>
    <w:p w:rsidR="000B1844" w:rsidRPr="00863CCE" w:rsidRDefault="000B1844" w:rsidP="00863CCE">
      <w:pPr>
        <w:autoSpaceDE w:val="0"/>
        <w:autoSpaceDN w:val="0"/>
        <w:adjustRightInd w:val="0"/>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ביטוי בתורת הקבלה המבוסס על הפסוקים המתארים את המעבר של יעקב אבינו בדרכו חזרה מחרן לארץ כנען. על יעקב אבינו כתוב: "</w:t>
      </w:r>
      <w:r w:rsidRPr="00863CCE">
        <w:rPr>
          <w:rFonts w:ascii="Keren" w:eastAsia="Times New Roman" w:hAnsi="Keren" w:cs="David"/>
          <w:color w:val="000000"/>
          <w:sz w:val="20"/>
          <w:szCs w:val="20"/>
          <w:rtl/>
          <w:lang w:eastAsia="he-IL"/>
          <w14:ligatures w14:val="none"/>
        </w:rPr>
        <w:t xml:space="preserve">וַיַּעֲבֹר אֵת מַעֲבַר יַבֹּק </w:t>
      </w:r>
      <w:r w:rsidRPr="00863CCE">
        <w:rPr>
          <w:rFonts w:ascii="Keren" w:eastAsia="Times New Roman" w:hAnsi="Keren" w:cs="David"/>
          <w:sz w:val="20"/>
          <w:szCs w:val="20"/>
          <w:rtl/>
          <w:lang w:eastAsia="he-IL"/>
          <w14:ligatures w14:val="none"/>
        </w:rPr>
        <w:t>...</w:t>
      </w:r>
      <w:r w:rsidRPr="00863CCE">
        <w:rPr>
          <w:rFonts w:ascii="Keren" w:eastAsia="Times New Roman" w:hAnsi="Keren" w:cs="David"/>
          <w:color w:val="000000"/>
          <w:sz w:val="16"/>
          <w:szCs w:val="20"/>
          <w:rtl/>
          <w:lang w:eastAsia="he-IL"/>
          <w14:ligatures w14:val="none"/>
        </w:rPr>
        <w:t xml:space="preserve"> וַיִּוָּתֵר יַעֲקֹב לְבַדּוֹ וַיֵּאָבֵק אִישׁ עִמּוֹ עַד עֲלוֹת הַשָּׁחַר</w:t>
      </w:r>
      <w:r w:rsidRPr="00863CCE">
        <w:rPr>
          <w:rFonts w:ascii="Keren" w:eastAsia="Times New Roman" w:hAnsi="Keren" w:cs="David"/>
          <w:szCs w:val="20"/>
          <w:rtl/>
          <w14:ligatures w14:val="none"/>
        </w:rPr>
        <w:t>" (בראשית לב, כב – כד). במעבר זה נאלץ יעקב להאבק עם המלאך כל הלילה עד עלות השחר. בקבלה זהו מושג המתאר מעבר מורכב, ולעתים מעבר קשה ובעייתי ממצב למצב, המצריך סיוע. מעבר קשה שבסופו מגיע האור, כמו אצל יעקב אבינו שנאבק עד עלות השחר "</w:t>
      </w:r>
      <w:r w:rsidRPr="00863CCE">
        <w:rPr>
          <w:rFonts w:ascii="Keren" w:eastAsia="Times New Roman" w:hAnsi="Keren" w:cs="David"/>
          <w:sz w:val="20"/>
          <w:szCs w:val="20"/>
          <w:rtl/>
          <w:lang w:eastAsia="he-IL"/>
          <w14:ligatures w14:val="none"/>
        </w:rPr>
        <w:t>וַיִּזְרַח לוֹ הַשֶּׁמֶשׁ כַּאֲשֶׁר עָבַר אֶת פְּנוּאֵל</w:t>
      </w:r>
      <w:r w:rsidRPr="00863CCE">
        <w:rPr>
          <w:rFonts w:ascii="Keren" w:eastAsia="Times New Roman" w:hAnsi="Keren" w:cs="David"/>
          <w:szCs w:val="20"/>
          <w:rtl/>
          <w14:ligatures w14:val="none"/>
        </w:rPr>
        <w:t xml:space="preserve">". כך למשל בכניסה לבית שהיא מקום רגיש ולעיתים בעייתי ומורכב, ישנה מצוה לקבוע מזוזה. זכות המצוה אמורה לסייע ולהגן על האדם במעבר מהבית המוגן אל ההתמודדות בחוץ, ולהגן על הבית עצמו מגורמים חיצוניים. </w:t>
      </w:r>
    </w:p>
    <w:p w:rsidR="000B1844" w:rsidRPr="00863CCE" w:rsidRDefault="000B1844"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Times New Roman" w:eastAsia="Times New Roman" w:hAnsi="Times New Roman" w:cs="David"/>
          <w:sz w:val="20"/>
          <w:szCs w:val="20"/>
          <w:rtl/>
          <w14:ligatures w14:val="none"/>
        </w:rPr>
        <w:t xml:space="preserve">כך למשל גם בלידה. הלידה היא מצב של מעבר מורכב ביותר, גם לאם וגם לתינוק שנולד. במשנה (שבת פרק ב) מובא שעל שלוש עברות נשים מתות בשעת לידתן, על שאינן זהירות בנידה ובחלה ובהדלקת הנר. שלוש המצוות הללו נמצאות במעברים מורכבים וחשובים. הנידה היא מעבר משמעותי ביותר לאשה ולבעלה מטהרה לטומאה ומטומאה לטהרה, וחוזר חלילה. הפרשת חלה מן העיסה נמצאת במעבר מחמרי הגלם הטבעיים שהם מאכל בהמה, אל הלחם שהוא המאכל האנושי הבסיסי ביותר, המסמל את יכולת האדם לייצר את מאכלו. הדלקת הנר היא המעבר מימי החול לשבת קודש, מהממד החומרי של ששת ימי המעשה, אל הרוחניות והקדושה. בכל אחד ממעברים אלו ישנה מצוה, המעניקה משמעות רוחנית ומחילה שם שמים על הפעולות האנושיות. זכות המצוה נותנת הגנה וביטחון. על דרך החיוב ניתן לומר, שהזהירות של האשה במצוות הללו המייצגות מעברים מורכבים, מאפשרת לה הגנה כשהיא עצמה נמצאת בתהליך של לידה, במעבר מורכב ומסוכן של נתינת חיים. </w:t>
      </w:r>
    </w:p>
    <w:p w:rsidR="000B1844" w:rsidRPr="00863CCE" w:rsidRDefault="000B1844" w:rsidP="00863CCE">
      <w:pPr>
        <w:autoSpaceDE w:val="0"/>
        <w:autoSpaceDN w:val="0"/>
        <w:adjustRightInd w:val="0"/>
        <w:spacing w:after="0" w:line="360" w:lineRule="auto"/>
        <w:jc w:val="both"/>
        <w:rPr>
          <w:rFonts w:ascii="Keren" w:eastAsia="Times New Roman" w:hAnsi="Keren" w:cs="David"/>
          <w:sz w:val="20"/>
          <w:szCs w:val="20"/>
          <w:lang w:eastAsia="he-IL"/>
          <w14:ligatures w14:val="none"/>
        </w:rPr>
      </w:pPr>
      <w:r w:rsidRPr="00863CCE">
        <w:rPr>
          <w:rFonts w:ascii="Keren" w:eastAsia="Times New Roman" w:hAnsi="Keren" w:cs="David"/>
          <w:szCs w:val="20"/>
          <w:rtl/>
          <w14:ligatures w14:val="none"/>
        </w:rPr>
        <w:t>גם בפטירה כמו בלידה יש צורך בתמיכה ובסיוע לנשמה העוברת ממצב למצב. חלק ממנהגי הלוויה והקבורה, בעיקר מנהגים המבוססים על תורת הקבלה והסוד, קשורים לגישה זו של סיוע לנפטר ולנשמתו בעת הפטירה, הלוויה והקבורה.</w:t>
      </w:r>
    </w:p>
    <w:p w:rsidR="00D5072B" w:rsidRDefault="000B1844">
      <w:r w:rsidRPr="00863CCE">
        <w:rPr>
          <w:rFonts w:ascii="Keren" w:eastAsia="Times New Roman" w:hAnsi="Keren" w:cs="David"/>
          <w:szCs w:val="20"/>
          <w:rtl/>
          <w14:ligatures w14:val="none"/>
        </w:rPr>
        <w:t xml:space="preserve">השם "יַבֹּק" מורכב על פי הקבלה מצירופי שמות א.ה.י.ה. ה.ו.י.ה. א.ד.נ.י. יחד הם קי"ב = יבק. "וגם יַבֹּק שהוא שם קדוש ועליו נאמר ויעבר את מעבר יַבֹּק והוא סוד </w:t>
      </w:r>
      <w:r w:rsidRPr="00863CCE">
        <w:rPr>
          <w:rFonts w:ascii="Keren" w:eastAsia="Times New Roman" w:hAnsi="Keren" w:cs="David"/>
          <w:b/>
          <w:bCs/>
          <w:sz w:val="24"/>
          <w:rtl/>
          <w14:ligatures w14:val="none"/>
        </w:rPr>
        <w:t>י</w:t>
      </w:r>
      <w:r w:rsidRPr="00863CCE">
        <w:rPr>
          <w:rFonts w:ascii="Keren" w:eastAsia="Times New Roman" w:hAnsi="Keren" w:cs="David"/>
          <w:szCs w:val="20"/>
          <w:rtl/>
          <w14:ligatures w14:val="none"/>
        </w:rPr>
        <w:t xml:space="preserve">עננו </w:t>
      </w:r>
      <w:r w:rsidRPr="00863CCE">
        <w:rPr>
          <w:rFonts w:ascii="Keren" w:eastAsia="Times New Roman" w:hAnsi="Keren" w:cs="David"/>
          <w:b/>
          <w:bCs/>
          <w:sz w:val="24"/>
          <w:rtl/>
          <w14:ligatures w14:val="none"/>
        </w:rPr>
        <w:t>ב</w:t>
      </w:r>
      <w:r w:rsidRPr="00863CCE">
        <w:rPr>
          <w:rFonts w:ascii="Keren" w:eastAsia="Times New Roman" w:hAnsi="Keren" w:cs="David"/>
          <w:szCs w:val="20"/>
          <w:rtl/>
          <w14:ligatures w14:val="none"/>
        </w:rPr>
        <w:t xml:space="preserve">יום </w:t>
      </w:r>
      <w:r w:rsidRPr="00863CCE">
        <w:rPr>
          <w:rFonts w:ascii="Keren" w:eastAsia="Times New Roman" w:hAnsi="Keren" w:cs="David"/>
          <w:b/>
          <w:bCs/>
          <w:sz w:val="24"/>
          <w:rtl/>
          <w14:ligatures w14:val="none"/>
        </w:rPr>
        <w:t>ק</w:t>
      </w:r>
      <w:r w:rsidRPr="00863CCE">
        <w:rPr>
          <w:rFonts w:ascii="Keren" w:eastAsia="Times New Roman" w:hAnsi="Keren" w:cs="David"/>
          <w:szCs w:val="20"/>
          <w:rtl/>
          <w14:ligatures w14:val="none"/>
        </w:rPr>
        <w:t xml:space="preserve">ראנו…" (מעבר יַבֹּק מאמר שפתי רננות פרק ה. עיין שם באריכות ובפרוטרוט). ע"ע </w:t>
      </w:r>
      <w:r w:rsidRPr="00863CCE">
        <w:rPr>
          <w:rFonts w:ascii="Keren" w:eastAsia="Times New Roman" w:hAnsi="Keren" w:cs="David"/>
          <w:b/>
          <w:bCs/>
          <w:szCs w:val="20"/>
          <w:rtl/>
          <w14:ligatures w14:val="none"/>
        </w:rPr>
        <w:t>הקפות. חרדת הדין. חרם - זרעו לא ילך אחריו. מעמד ומושב. שיר של פגעים.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844"/>
    <w:rsid w:val="000B1844"/>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6D2394-5E80-4464-A7FD-6F5EAEDE7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1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B1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B184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B184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B184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18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184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184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184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B184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B184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B184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B1844"/>
    <w:rPr>
      <w:rFonts w:eastAsiaTheme="majorEastAsia" w:cstheme="majorBidi"/>
      <w:i/>
      <w:iCs/>
      <w:color w:val="0F4761" w:themeColor="accent1" w:themeShade="BF"/>
    </w:rPr>
  </w:style>
  <w:style w:type="character" w:customStyle="1" w:styleId="50">
    <w:name w:val="כותרת 5 תו"/>
    <w:basedOn w:val="a0"/>
    <w:link w:val="5"/>
    <w:uiPriority w:val="9"/>
    <w:semiHidden/>
    <w:rsid w:val="000B1844"/>
    <w:rPr>
      <w:rFonts w:eastAsiaTheme="majorEastAsia" w:cstheme="majorBidi"/>
      <w:color w:val="0F4761" w:themeColor="accent1" w:themeShade="BF"/>
    </w:rPr>
  </w:style>
  <w:style w:type="character" w:customStyle="1" w:styleId="60">
    <w:name w:val="כותרת 6 תו"/>
    <w:basedOn w:val="a0"/>
    <w:link w:val="6"/>
    <w:uiPriority w:val="9"/>
    <w:semiHidden/>
    <w:rsid w:val="000B1844"/>
    <w:rPr>
      <w:rFonts w:eastAsiaTheme="majorEastAsia" w:cstheme="majorBidi"/>
      <w:i/>
      <w:iCs/>
      <w:color w:val="595959" w:themeColor="text1" w:themeTint="A6"/>
    </w:rPr>
  </w:style>
  <w:style w:type="character" w:customStyle="1" w:styleId="70">
    <w:name w:val="כותרת 7 תו"/>
    <w:basedOn w:val="a0"/>
    <w:link w:val="7"/>
    <w:uiPriority w:val="9"/>
    <w:semiHidden/>
    <w:rsid w:val="000B1844"/>
    <w:rPr>
      <w:rFonts w:eastAsiaTheme="majorEastAsia" w:cstheme="majorBidi"/>
      <w:color w:val="595959" w:themeColor="text1" w:themeTint="A6"/>
    </w:rPr>
  </w:style>
  <w:style w:type="character" w:customStyle="1" w:styleId="80">
    <w:name w:val="כותרת 8 תו"/>
    <w:basedOn w:val="a0"/>
    <w:link w:val="8"/>
    <w:uiPriority w:val="9"/>
    <w:semiHidden/>
    <w:rsid w:val="000B1844"/>
    <w:rPr>
      <w:rFonts w:eastAsiaTheme="majorEastAsia" w:cstheme="majorBidi"/>
      <w:i/>
      <w:iCs/>
      <w:color w:val="272727" w:themeColor="text1" w:themeTint="D8"/>
    </w:rPr>
  </w:style>
  <w:style w:type="character" w:customStyle="1" w:styleId="90">
    <w:name w:val="כותרת 9 תו"/>
    <w:basedOn w:val="a0"/>
    <w:link w:val="9"/>
    <w:uiPriority w:val="9"/>
    <w:semiHidden/>
    <w:rsid w:val="000B1844"/>
    <w:rPr>
      <w:rFonts w:eastAsiaTheme="majorEastAsia" w:cstheme="majorBidi"/>
      <w:color w:val="272727" w:themeColor="text1" w:themeTint="D8"/>
    </w:rPr>
  </w:style>
  <w:style w:type="paragraph" w:styleId="a3">
    <w:name w:val="Title"/>
    <w:basedOn w:val="a"/>
    <w:next w:val="a"/>
    <w:link w:val="a4"/>
    <w:uiPriority w:val="10"/>
    <w:qFormat/>
    <w:rsid w:val="000B1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B18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84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B184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B1844"/>
    <w:pPr>
      <w:spacing w:before="160"/>
      <w:jc w:val="center"/>
    </w:pPr>
    <w:rPr>
      <w:i/>
      <w:iCs/>
      <w:color w:val="404040" w:themeColor="text1" w:themeTint="BF"/>
    </w:rPr>
  </w:style>
  <w:style w:type="character" w:customStyle="1" w:styleId="a8">
    <w:name w:val="ציטוט תו"/>
    <w:basedOn w:val="a0"/>
    <w:link w:val="a7"/>
    <w:uiPriority w:val="29"/>
    <w:rsid w:val="000B1844"/>
    <w:rPr>
      <w:i/>
      <w:iCs/>
      <w:color w:val="404040" w:themeColor="text1" w:themeTint="BF"/>
    </w:rPr>
  </w:style>
  <w:style w:type="paragraph" w:styleId="a9">
    <w:name w:val="List Paragraph"/>
    <w:basedOn w:val="a"/>
    <w:uiPriority w:val="34"/>
    <w:qFormat/>
    <w:rsid w:val="000B1844"/>
    <w:pPr>
      <w:ind w:left="720"/>
      <w:contextualSpacing/>
    </w:pPr>
  </w:style>
  <w:style w:type="character" w:styleId="aa">
    <w:name w:val="Intense Emphasis"/>
    <w:basedOn w:val="a0"/>
    <w:uiPriority w:val="21"/>
    <w:qFormat/>
    <w:rsid w:val="000B1844"/>
    <w:rPr>
      <w:i/>
      <w:iCs/>
      <w:color w:val="0F4761" w:themeColor="accent1" w:themeShade="BF"/>
    </w:rPr>
  </w:style>
  <w:style w:type="paragraph" w:styleId="ab">
    <w:name w:val="Intense Quote"/>
    <w:basedOn w:val="a"/>
    <w:next w:val="a"/>
    <w:link w:val="ac"/>
    <w:uiPriority w:val="30"/>
    <w:qFormat/>
    <w:rsid w:val="000B1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B1844"/>
    <w:rPr>
      <w:i/>
      <w:iCs/>
      <w:color w:val="0F4761" w:themeColor="accent1" w:themeShade="BF"/>
    </w:rPr>
  </w:style>
  <w:style w:type="character" w:styleId="ad">
    <w:name w:val="Intense Reference"/>
    <w:basedOn w:val="a0"/>
    <w:uiPriority w:val="32"/>
    <w:qFormat/>
    <w:rsid w:val="000B1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1764</Characters>
  <Application>Microsoft Office Word</Application>
  <DocSecurity>0</DocSecurity>
  <Lines>14</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