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164" w:rsidRPr="00863CCE" w:rsidRDefault="005F316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68"/>
      <w:r w:rsidRPr="00863CCE">
        <w:rPr>
          <w:rFonts w:ascii="Keren" w:eastAsia="Times New Roman" w:hAnsi="Keren" w:cs="David"/>
          <w:b/>
          <w:bCs/>
          <w:sz w:val="26"/>
          <w:szCs w:val="24"/>
          <w:rtl/>
          <w:lang w:eastAsia="he-IL"/>
          <w14:ligatures w14:val="none"/>
        </w:rPr>
        <w:t>מעמד ומושב</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"מעמד ומושב:ערך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5F3164" w:rsidRPr="00863CCE" w:rsidRDefault="005F3164"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 xml:space="preserve">כשנושאים את המת לקברו, היו יושבים שבע פעמים לבכות את המת והרוצה לספדו היה סופד. ובכל פעם אמר הממונה "עמדו יקרים עמודו", "שבו יקרים שבו". (מגילה כג, ב, ורש"י שם). שבעה מעמדות ומושבות הן כנגד שבעה "הבלים" שבקהלת (בבא בתרא ק, ב). "בחזירתם מן הקבר הולכים מעט ויושבים שבע פעמים להרבות צער על המת ולתת איש אל לבו לשוב בתשובה, כי חיי האדם הבל" (רשב"ם שם). אין עושים מעמד ומושב בפחות מעשרה (משנה מגילה ד, ג). בזמן הגאונים הפסיקו לנהוג מנהג זה (אוצר הגאונים משקין סימן קכג; תשובות הגאונים שערי צדק, חלק ג שער ד, כ). </w:t>
      </w:r>
      <w:r w:rsidRPr="00863CCE">
        <w:rPr>
          <w:rFonts w:ascii="Arial" w:eastAsia="Times New Roman" w:hAnsi="Arial" w:cs="David"/>
          <w:szCs w:val="20"/>
          <w:rtl/>
          <w:lang w:eastAsia="he-IL"/>
          <w14:ligatures w14:val="none"/>
        </w:rPr>
        <w:t>הרמב"ם פוסק זאת להלכה (הלכות אבל פרק יב , ד – ה) וכך גם הרמב"ן (תורת האדם עמוד קנא), והרמ"א (על שלחן ערוך יורה דעה בסוף סימן שנח). בגשר החיים (פרק יד, ג, א) כתב שכיום אין מדקדקים במספר המעמדות אלא כשתעבור המיטה לפני בית הכנסת אומרים את המשנה "עקביא בן מהללאל", פסוקים וקדיש. ואם אין עוברים ליד בית כנסת, מעמידים את מיטת הנפטר פעם או פעמיים לפני בית הקברות. גם בחזור מהלוויה היו נוהגים לשבת שבע פעמים ויש שנהגו שלֹש פעמים (הרמ"א בסימן שעו, ד. גשר החיים שם). מנהג בני תימן</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Arial" w:eastAsia="Times New Roman" w:hAnsi="Arial" w:cs="David"/>
          <w:szCs w:val="20"/>
          <w:rtl/>
          <w:lang w:eastAsia="he-IL"/>
          <w14:ligatures w14:val="none"/>
        </w:rPr>
        <w:instrText>מנהג בני תימן:</w:instrText>
      </w:r>
      <w:r w:rsidRPr="00863CCE">
        <w:rPr>
          <w:rFonts w:ascii="Keren" w:eastAsia="Times New Roman" w:hAnsi="Keren" w:cs="David"/>
          <w:sz w:val="28"/>
          <w:szCs w:val="24"/>
          <w:rtl/>
          <w:lang w:eastAsia="he-IL"/>
          <w14:ligatures w14:val="none"/>
        </w:rPr>
        <w:instrText>מעמד ומושב"</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xml:space="preserve"> לעשות מעמד ומושב גם כיום (הליכות תימן, מנהגי קבורה ואבלות עמוד 327; </w:t>
      </w:r>
      <w:r w:rsidRPr="00863CCE">
        <w:rPr>
          <w:rFonts w:ascii="Keren" w:eastAsia="Times New Roman" w:hAnsi="Keren" w:cs="David"/>
          <w:szCs w:val="20"/>
          <w:rtl/>
          <w:lang w:eastAsia="he-IL"/>
          <w14:ligatures w14:val="none"/>
        </w:rPr>
        <w:t>שלחן ערוך המקוצר עיני יצחק, יורה דעה סימן קפ, יג).</w:t>
      </w:r>
    </w:p>
    <w:p w:rsidR="00D5072B" w:rsidRDefault="005F3164">
      <w:r w:rsidRPr="00863CCE">
        <w:rPr>
          <w:rFonts w:ascii="Arial" w:eastAsia="Times New Roman" w:hAnsi="Arial" w:cs="David"/>
          <w:szCs w:val="20"/>
          <w:rtl/>
          <w:lang w:eastAsia="he-IL"/>
          <w14:ligatures w14:val="none"/>
        </w:rPr>
        <w:t xml:space="preserve">הסבר על דרך הקבלה מצינו בספר </w:t>
      </w:r>
      <w:r w:rsidRPr="00863CCE">
        <w:rPr>
          <w:rFonts w:ascii="Keren" w:eastAsia="Times New Roman" w:hAnsi="Keren" w:cs="David"/>
          <w:szCs w:val="20"/>
          <w:rtl/>
          <w:lang w:eastAsia="he-IL"/>
          <w14:ligatures w14:val="none"/>
        </w:rPr>
        <w:t>מעבר יַבֹּק</w:t>
      </w:r>
      <w:r w:rsidRPr="00863CCE">
        <w:rPr>
          <w:rFonts w:ascii="Arial" w:eastAsia="Times New Roman" w:hAnsi="Arial" w:cs="David"/>
          <w:szCs w:val="20"/>
          <w:rtl/>
          <w:lang w:eastAsia="he-IL"/>
          <w14:ligatures w14:val="none"/>
        </w:rPr>
        <w:t xml:space="preserve">: "ובכל זמן שעומדים עם הארגז (הארון) להחליף, יכוונו להבריח מעליו ומסביביו הרוחות כי בכל עמידה הרוחות פורחים ואולי אין להם רשות רק להלך ולא לעמוד, כמו שהמזיק אין לו רשות לזוז ממקומו" (מאמר שפתי רננות פרק טו. כך מובא גם בשפתי כהן על שולחן ערוך סימן שנח, ג). ע"ע </w:t>
      </w:r>
      <w:r w:rsidRPr="00863CCE">
        <w:rPr>
          <w:rFonts w:ascii="Arial" w:eastAsia="Times New Roman" w:hAnsi="Arial" w:cs="David"/>
          <w:b/>
          <w:bCs/>
          <w:szCs w:val="20"/>
          <w:rtl/>
          <w:lang w:eastAsia="he-IL"/>
          <w14:ligatures w14:val="none"/>
        </w:rPr>
        <w:t xml:space="preserve">מעבר יבֹק.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164"/>
    <w:rsid w:val="000D0A23"/>
    <w:rsid w:val="002C1211"/>
    <w:rsid w:val="005C4B14"/>
    <w:rsid w:val="005F316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62D5C-3A89-4800-9BDE-69680F7B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F3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F3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F31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F31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F31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F31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31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31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31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F316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F316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F316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F3164"/>
    <w:rPr>
      <w:rFonts w:eastAsiaTheme="majorEastAsia" w:cstheme="majorBidi"/>
      <w:i/>
      <w:iCs/>
      <w:color w:val="0F4761" w:themeColor="accent1" w:themeShade="BF"/>
    </w:rPr>
  </w:style>
  <w:style w:type="character" w:customStyle="1" w:styleId="50">
    <w:name w:val="כותרת 5 תו"/>
    <w:basedOn w:val="a0"/>
    <w:link w:val="5"/>
    <w:uiPriority w:val="9"/>
    <w:semiHidden/>
    <w:rsid w:val="005F3164"/>
    <w:rPr>
      <w:rFonts w:eastAsiaTheme="majorEastAsia" w:cstheme="majorBidi"/>
      <w:color w:val="0F4761" w:themeColor="accent1" w:themeShade="BF"/>
    </w:rPr>
  </w:style>
  <w:style w:type="character" w:customStyle="1" w:styleId="60">
    <w:name w:val="כותרת 6 תו"/>
    <w:basedOn w:val="a0"/>
    <w:link w:val="6"/>
    <w:uiPriority w:val="9"/>
    <w:semiHidden/>
    <w:rsid w:val="005F3164"/>
    <w:rPr>
      <w:rFonts w:eastAsiaTheme="majorEastAsia" w:cstheme="majorBidi"/>
      <w:i/>
      <w:iCs/>
      <w:color w:val="595959" w:themeColor="text1" w:themeTint="A6"/>
    </w:rPr>
  </w:style>
  <w:style w:type="character" w:customStyle="1" w:styleId="70">
    <w:name w:val="כותרת 7 תו"/>
    <w:basedOn w:val="a0"/>
    <w:link w:val="7"/>
    <w:uiPriority w:val="9"/>
    <w:semiHidden/>
    <w:rsid w:val="005F3164"/>
    <w:rPr>
      <w:rFonts w:eastAsiaTheme="majorEastAsia" w:cstheme="majorBidi"/>
      <w:color w:val="595959" w:themeColor="text1" w:themeTint="A6"/>
    </w:rPr>
  </w:style>
  <w:style w:type="character" w:customStyle="1" w:styleId="80">
    <w:name w:val="כותרת 8 תו"/>
    <w:basedOn w:val="a0"/>
    <w:link w:val="8"/>
    <w:uiPriority w:val="9"/>
    <w:semiHidden/>
    <w:rsid w:val="005F3164"/>
    <w:rPr>
      <w:rFonts w:eastAsiaTheme="majorEastAsia" w:cstheme="majorBidi"/>
      <w:i/>
      <w:iCs/>
      <w:color w:val="272727" w:themeColor="text1" w:themeTint="D8"/>
    </w:rPr>
  </w:style>
  <w:style w:type="character" w:customStyle="1" w:styleId="90">
    <w:name w:val="כותרת 9 תו"/>
    <w:basedOn w:val="a0"/>
    <w:link w:val="9"/>
    <w:uiPriority w:val="9"/>
    <w:semiHidden/>
    <w:rsid w:val="005F3164"/>
    <w:rPr>
      <w:rFonts w:eastAsiaTheme="majorEastAsia" w:cstheme="majorBidi"/>
      <w:color w:val="272727" w:themeColor="text1" w:themeTint="D8"/>
    </w:rPr>
  </w:style>
  <w:style w:type="paragraph" w:styleId="a3">
    <w:name w:val="Title"/>
    <w:basedOn w:val="a"/>
    <w:next w:val="a"/>
    <w:link w:val="a4"/>
    <w:uiPriority w:val="10"/>
    <w:qFormat/>
    <w:rsid w:val="005F3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F31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316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F31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F3164"/>
    <w:pPr>
      <w:spacing w:before="160"/>
      <w:jc w:val="center"/>
    </w:pPr>
    <w:rPr>
      <w:i/>
      <w:iCs/>
      <w:color w:val="404040" w:themeColor="text1" w:themeTint="BF"/>
    </w:rPr>
  </w:style>
  <w:style w:type="character" w:customStyle="1" w:styleId="a8">
    <w:name w:val="ציטוט תו"/>
    <w:basedOn w:val="a0"/>
    <w:link w:val="a7"/>
    <w:uiPriority w:val="29"/>
    <w:rsid w:val="005F3164"/>
    <w:rPr>
      <w:i/>
      <w:iCs/>
      <w:color w:val="404040" w:themeColor="text1" w:themeTint="BF"/>
    </w:rPr>
  </w:style>
  <w:style w:type="paragraph" w:styleId="a9">
    <w:name w:val="List Paragraph"/>
    <w:basedOn w:val="a"/>
    <w:uiPriority w:val="34"/>
    <w:qFormat/>
    <w:rsid w:val="005F3164"/>
    <w:pPr>
      <w:ind w:left="720"/>
      <w:contextualSpacing/>
    </w:pPr>
  </w:style>
  <w:style w:type="character" w:styleId="aa">
    <w:name w:val="Intense Emphasis"/>
    <w:basedOn w:val="a0"/>
    <w:uiPriority w:val="21"/>
    <w:qFormat/>
    <w:rsid w:val="005F3164"/>
    <w:rPr>
      <w:i/>
      <w:iCs/>
      <w:color w:val="0F4761" w:themeColor="accent1" w:themeShade="BF"/>
    </w:rPr>
  </w:style>
  <w:style w:type="paragraph" w:styleId="ab">
    <w:name w:val="Intense Quote"/>
    <w:basedOn w:val="a"/>
    <w:next w:val="a"/>
    <w:link w:val="ac"/>
    <w:uiPriority w:val="30"/>
    <w:qFormat/>
    <w:rsid w:val="005F3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F3164"/>
    <w:rPr>
      <w:i/>
      <w:iCs/>
      <w:color w:val="0F4761" w:themeColor="accent1" w:themeShade="BF"/>
    </w:rPr>
  </w:style>
  <w:style w:type="character" w:styleId="ad">
    <w:name w:val="Intense Reference"/>
    <w:basedOn w:val="a0"/>
    <w:uiPriority w:val="32"/>
    <w:qFormat/>
    <w:rsid w:val="005F31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1245</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