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7C97" w:rsidRPr="00863CCE" w:rsidRDefault="00447C97" w:rsidP="00863CCE">
      <w:pPr>
        <w:spacing w:after="0" w:line="360" w:lineRule="auto"/>
        <w:jc w:val="both"/>
        <w:outlineLvl w:val="6"/>
        <w:rPr>
          <w:rFonts w:ascii="Keren" w:eastAsia="Times New Roman" w:hAnsi="Keren" w:cs="David"/>
          <w:b/>
          <w:bCs/>
          <w:szCs w:val="20"/>
          <w:rtl/>
          <w14:ligatures w14:val="none"/>
        </w:rPr>
      </w:pPr>
      <w:bookmarkStart w:id="0" w:name="_Toc88530371"/>
      <w:r w:rsidRPr="00863CCE">
        <w:rPr>
          <w:rFonts w:ascii="Keren" w:eastAsia="Times New Roman" w:hAnsi="Keren" w:cs="David"/>
          <w:b/>
          <w:bCs/>
          <w:sz w:val="26"/>
          <w:szCs w:val="24"/>
          <w:rtl/>
          <w:lang w:eastAsia="he-IL"/>
          <w14:ligatures w14:val="none"/>
        </w:rPr>
        <w:t>מצבה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"מצבה:ערך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447C97" w:rsidRPr="00863CCE" w:rsidRDefault="00447C97"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מימות עולם נהוג להקים מצבה על הקבר</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 xml:space="preserve">במות רחל הציב יעקב מצבה על קבורתה. </w:t>
      </w:r>
    </w:p>
    <w:p w:rsidR="00447C97" w:rsidRPr="00863CCE" w:rsidRDefault="00447C97"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שלושה שמות הם – מצבה, ציוּן, נפש.</w:t>
      </w:r>
    </w:p>
    <w:p w:rsidR="00447C97" w:rsidRPr="00863CCE" w:rsidRDefault="00447C9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14:ligatures w14:val="none"/>
        </w:rPr>
        <w:t>בתורה מצאנו שם "מצבה" – "</w:t>
      </w:r>
      <w:r w:rsidRPr="00863CCE">
        <w:rPr>
          <w:rFonts w:ascii="Keren" w:eastAsia="Times New Roman" w:hAnsi="Keren" w:cs="David"/>
          <w:sz w:val="20"/>
          <w:szCs w:val="20"/>
          <w:rtl/>
          <w:lang w:eastAsia="he-IL"/>
          <w14:ligatures w14:val="none"/>
        </w:rPr>
        <w:t>וַיַּצֵּב יַעֲקֹב מַצֵּבָה עַל קְבֻרָתָהּ הִוא מַצֶּבֶת קְבֻרַת רָחֵל עַד הַיּוֹם</w:t>
      </w:r>
      <w:r w:rsidRPr="00863CCE">
        <w:rPr>
          <w:rFonts w:ascii="Keren" w:eastAsia="Times New Roman" w:hAnsi="Keren" w:cs="David"/>
          <w:szCs w:val="20"/>
          <w:rtl/>
          <w14:ligatures w14:val="none"/>
        </w:rPr>
        <w:t>" (בראשית לה, כ )</w:t>
      </w:r>
    </w:p>
    <w:p w:rsidR="00447C97" w:rsidRPr="00863CCE" w:rsidRDefault="00447C9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14:ligatures w14:val="none"/>
        </w:rPr>
        <w:t>בנביאים מצאנו שם "ציון" – "</w:t>
      </w:r>
      <w:r w:rsidRPr="00863CCE">
        <w:rPr>
          <w:rFonts w:ascii="Keren" w:eastAsia="Times New Roman" w:hAnsi="Keren" w:cs="David"/>
          <w:sz w:val="20"/>
          <w:szCs w:val="20"/>
          <w:rtl/>
          <w:lang w:eastAsia="he-IL"/>
          <w14:ligatures w14:val="none"/>
        </w:rPr>
        <w:t>וַיֹּאמֶר מָה הַצִּיּוּן הַלָּז אֲשֶׁר אֲנִי רֹאֶה וַיֹּאמְרוּ אֵלָיו אַנְשֵׁי הָעִיר הַקֶּבֶר אִישׁ הָאֱלֹהִים אֲשֶׁר בָּא מִיהוּדָה</w:t>
      </w:r>
      <w:r w:rsidRPr="00863CCE">
        <w:rPr>
          <w:rFonts w:ascii="Keren" w:eastAsia="Times New Roman" w:hAnsi="Keren" w:cs="David"/>
          <w:szCs w:val="20"/>
          <w:rtl/>
          <w14:ligatures w14:val="none"/>
        </w:rPr>
        <w:t>" (מלכים ב', כג, יז ).</w:t>
      </w:r>
    </w:p>
    <w:p w:rsidR="00447C97" w:rsidRPr="00863CCE" w:rsidRDefault="00447C97"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במשנה ובגמרא שם "נפש" – "בונים לו נפש על קברו". (משנה שקלים ב, ה)</w:t>
      </w:r>
    </w:p>
    <w:p w:rsidR="00447C97" w:rsidRPr="00863CCE" w:rsidRDefault="00447C97"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הטעמים להקמת המצבה:</w:t>
      </w:r>
    </w:p>
    <w:p w:rsidR="00447C97" w:rsidRPr="00863CCE" w:rsidRDefault="00447C97" w:rsidP="00447C97">
      <w:pPr>
        <w:numPr>
          <w:ilvl w:val="0"/>
          <w:numId w:val="1"/>
        </w:numPr>
        <w:spacing w:after="0" w:line="360" w:lineRule="auto"/>
        <w:ind w:left="926" w:right="180"/>
        <w:jc w:val="both"/>
        <w:rPr>
          <w:rFonts w:ascii="Keren" w:eastAsia="Times New Roman" w:hAnsi="Keren" w:cs="David"/>
          <w:sz w:val="20"/>
          <w:szCs w:val="20"/>
          <w:rtl/>
          <w14:ligatures w14:val="none"/>
        </w:rPr>
      </w:pPr>
      <w:r w:rsidRPr="00863CCE">
        <w:rPr>
          <w:rFonts w:ascii="Keren" w:eastAsia="Times New Roman" w:hAnsi="Keren" w:cs="David"/>
          <w:szCs w:val="20"/>
          <w:rtl/>
          <w14:ligatures w14:val="none"/>
        </w:rPr>
        <w:t>לזיכרון המת שלא ישתכח מן הלב. לכן אמרו חז"ל שאין עושים נפשות (מצבות) לצדיקים, דבריהם הם הם זכרונם (ירושלמי שקלים ב, ה) וכך אמנם פסק הרמב"ם (הלכות אבל ד, ד). אך האריז"ל כתב (שער המצוות פרשת ויחי) שהמצבה הוא צורך גדול ויש בה תקון לנפש. והרשב"א כתב שהוא כבוד למת (שו"ת הרשב"א סימן שע"ה). וכן נוהגים עתה לעשות מצבות גם לרבנים גדולים.</w:t>
      </w:r>
    </w:p>
    <w:p w:rsidR="00447C97" w:rsidRPr="00863CCE" w:rsidRDefault="00447C97" w:rsidP="00447C97">
      <w:pPr>
        <w:numPr>
          <w:ilvl w:val="0"/>
          <w:numId w:val="1"/>
        </w:numPr>
        <w:spacing w:after="0" w:line="360" w:lineRule="auto"/>
        <w:ind w:left="926" w:right="180"/>
        <w:jc w:val="both"/>
        <w:rPr>
          <w:rFonts w:ascii="Keren" w:eastAsia="Times New Roman" w:hAnsi="Keren" w:cs="David"/>
          <w:sz w:val="20"/>
          <w:szCs w:val="20"/>
          <w14:ligatures w14:val="none"/>
        </w:rPr>
      </w:pPr>
      <w:r w:rsidRPr="00863CCE">
        <w:rPr>
          <w:rFonts w:ascii="Keren" w:eastAsia="Times New Roman" w:hAnsi="Keren" w:cs="David"/>
          <w:szCs w:val="20"/>
          <w:rtl/>
          <w14:ligatures w14:val="none"/>
        </w:rPr>
        <w:t>לדעת את מקום הקבר כדי לבקרו ולהתפלל עליו.</w:t>
      </w:r>
    </w:p>
    <w:p w:rsidR="00447C97" w:rsidRPr="00863CCE" w:rsidRDefault="00447C97" w:rsidP="00447C97">
      <w:pPr>
        <w:numPr>
          <w:ilvl w:val="0"/>
          <w:numId w:val="1"/>
        </w:numPr>
        <w:spacing w:after="0" w:line="360" w:lineRule="auto"/>
        <w:ind w:left="926" w:right="180"/>
        <w:jc w:val="both"/>
        <w:rPr>
          <w:rFonts w:ascii="Keren" w:eastAsia="Times New Roman" w:hAnsi="Keren" w:cs="David"/>
          <w:sz w:val="20"/>
          <w:szCs w:val="20"/>
          <w14:ligatures w14:val="none"/>
        </w:rPr>
      </w:pPr>
      <w:r w:rsidRPr="00863CCE">
        <w:rPr>
          <w:rFonts w:ascii="Keren" w:eastAsia="Times New Roman" w:hAnsi="Keren" w:cs="David"/>
          <w:szCs w:val="20"/>
          <w:rtl/>
          <w14:ligatures w14:val="none"/>
        </w:rPr>
        <w:t>לציין את מקום הטומאה ולהזהיר את הכהנים</w:t>
      </w:r>
    </w:p>
    <w:p w:rsidR="00447C97" w:rsidRPr="00863CCE" w:rsidRDefault="00447C97" w:rsidP="00447C97">
      <w:pPr>
        <w:numPr>
          <w:ilvl w:val="0"/>
          <w:numId w:val="1"/>
        </w:numPr>
        <w:spacing w:after="0" w:line="360" w:lineRule="auto"/>
        <w:ind w:left="926" w:right="180"/>
        <w:jc w:val="both"/>
        <w:rPr>
          <w:rFonts w:ascii="Keren" w:eastAsia="Times New Roman" w:hAnsi="Keren" w:cs="David"/>
          <w:sz w:val="20"/>
          <w:szCs w:val="20"/>
          <w14:ligatures w14:val="none"/>
        </w:rPr>
      </w:pPr>
      <w:r w:rsidRPr="00863CCE">
        <w:rPr>
          <w:rFonts w:ascii="Keren" w:eastAsia="Times New Roman" w:hAnsi="Keren" w:cs="David"/>
          <w:szCs w:val="20"/>
          <w:rtl/>
          <w14:ligatures w14:val="none"/>
        </w:rPr>
        <w:t>כבוד לנפש המרחפת שם.</w:t>
      </w:r>
    </w:p>
    <w:p w:rsidR="00447C97" w:rsidRPr="00863CCE" w:rsidRDefault="00447C97" w:rsidP="00863CCE">
      <w:pPr>
        <w:spacing w:after="0" w:line="360" w:lineRule="auto"/>
        <w:jc w:val="both"/>
        <w:rPr>
          <w:rFonts w:ascii="Keren" w:eastAsia="Times New Roman" w:hAnsi="Keren" w:cs="David"/>
          <w:szCs w:val="20"/>
          <w14:ligatures w14:val="none"/>
        </w:rPr>
      </w:pPr>
      <w:r w:rsidRPr="00863CCE">
        <w:rPr>
          <w:rFonts w:ascii="Keren" w:eastAsia="Times New Roman" w:hAnsi="Keren" w:cs="David"/>
          <w:szCs w:val="20"/>
          <w:rtl/>
          <w14:ligatures w14:val="none"/>
        </w:rPr>
        <w:t xml:space="preserve">יש הקבלה בין שלושת השמות לטעמים. השם מצבה על שם התייצבות, בא להבליט את הקבר שיהיה ניכר כדי שיוכלו לבקרו, ולזיכרון המת שלא ישכח. השם ציון בא לציין את מקום הקבר כדי להזהיר מטומאה. והשם נפש על שם נפש הנפטר המרחפת שם, כמו שמוזכר בספר הזוהר. (על פי גשר החיים פרק כח). </w:t>
      </w:r>
    </w:p>
    <w:p w:rsidR="00D5072B" w:rsidRDefault="00447C97">
      <w:r w:rsidRPr="00863CCE">
        <w:rPr>
          <w:rFonts w:ascii="Keren" w:eastAsia="Times New Roman" w:hAnsi="Keren" w:cs="David"/>
          <w:szCs w:val="20"/>
          <w:rtl/>
          <w:lang w:eastAsia="he-IL"/>
          <w14:ligatures w14:val="none"/>
        </w:rPr>
        <w:t xml:space="preserve">מי שציוה שלא להניח מצבה על קברו אין שומעים לו. אך אם ציוה שלא לכתוב תארים על מצבתו, שומעים לו. (ילקוט יוסף סימן מא, ג). ע"ע </w:t>
      </w:r>
      <w:r w:rsidRPr="00863CCE">
        <w:rPr>
          <w:rFonts w:ascii="Keren" w:eastAsia="Times New Roman" w:hAnsi="Keren" w:cs="David"/>
          <w:b/>
          <w:bCs/>
          <w:szCs w:val="20"/>
          <w:rtl/>
          <w:lang w:eastAsia="he-IL"/>
          <w14:ligatures w14:val="none"/>
        </w:rPr>
        <w:t>מצוה לקיים דברי המת.</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num w:numId="1" w16cid:durableId="647713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97"/>
    <w:rsid w:val="000D0A23"/>
    <w:rsid w:val="002C1211"/>
    <w:rsid w:val="00447C97"/>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D892E7-B387-4482-926F-1AD651C98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7C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7C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7C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7C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7C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C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7C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7C9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7C9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7C9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7C97"/>
    <w:rPr>
      <w:rFonts w:eastAsiaTheme="majorEastAsia" w:cstheme="majorBidi"/>
      <w:i/>
      <w:iCs/>
      <w:color w:val="0F4761" w:themeColor="accent1" w:themeShade="BF"/>
    </w:rPr>
  </w:style>
  <w:style w:type="character" w:customStyle="1" w:styleId="50">
    <w:name w:val="כותרת 5 תו"/>
    <w:basedOn w:val="a0"/>
    <w:link w:val="5"/>
    <w:uiPriority w:val="9"/>
    <w:semiHidden/>
    <w:rsid w:val="00447C97"/>
    <w:rPr>
      <w:rFonts w:eastAsiaTheme="majorEastAsia" w:cstheme="majorBidi"/>
      <w:color w:val="0F4761" w:themeColor="accent1" w:themeShade="BF"/>
    </w:rPr>
  </w:style>
  <w:style w:type="character" w:customStyle="1" w:styleId="60">
    <w:name w:val="כותרת 6 תו"/>
    <w:basedOn w:val="a0"/>
    <w:link w:val="6"/>
    <w:uiPriority w:val="9"/>
    <w:semiHidden/>
    <w:rsid w:val="00447C97"/>
    <w:rPr>
      <w:rFonts w:eastAsiaTheme="majorEastAsia" w:cstheme="majorBidi"/>
      <w:i/>
      <w:iCs/>
      <w:color w:val="595959" w:themeColor="text1" w:themeTint="A6"/>
    </w:rPr>
  </w:style>
  <w:style w:type="character" w:customStyle="1" w:styleId="70">
    <w:name w:val="כותרת 7 תו"/>
    <w:basedOn w:val="a0"/>
    <w:link w:val="7"/>
    <w:uiPriority w:val="9"/>
    <w:semiHidden/>
    <w:rsid w:val="00447C97"/>
    <w:rPr>
      <w:rFonts w:eastAsiaTheme="majorEastAsia" w:cstheme="majorBidi"/>
      <w:color w:val="595959" w:themeColor="text1" w:themeTint="A6"/>
    </w:rPr>
  </w:style>
  <w:style w:type="character" w:customStyle="1" w:styleId="80">
    <w:name w:val="כותרת 8 תו"/>
    <w:basedOn w:val="a0"/>
    <w:link w:val="8"/>
    <w:uiPriority w:val="9"/>
    <w:semiHidden/>
    <w:rsid w:val="00447C97"/>
    <w:rPr>
      <w:rFonts w:eastAsiaTheme="majorEastAsia" w:cstheme="majorBidi"/>
      <w:i/>
      <w:iCs/>
      <w:color w:val="272727" w:themeColor="text1" w:themeTint="D8"/>
    </w:rPr>
  </w:style>
  <w:style w:type="character" w:customStyle="1" w:styleId="90">
    <w:name w:val="כותרת 9 תו"/>
    <w:basedOn w:val="a0"/>
    <w:link w:val="9"/>
    <w:uiPriority w:val="9"/>
    <w:semiHidden/>
    <w:rsid w:val="00447C97"/>
    <w:rPr>
      <w:rFonts w:eastAsiaTheme="majorEastAsia" w:cstheme="majorBidi"/>
      <w:color w:val="272727" w:themeColor="text1" w:themeTint="D8"/>
    </w:rPr>
  </w:style>
  <w:style w:type="paragraph" w:styleId="a3">
    <w:name w:val="Title"/>
    <w:basedOn w:val="a"/>
    <w:next w:val="a"/>
    <w:link w:val="a4"/>
    <w:uiPriority w:val="10"/>
    <w:qFormat/>
    <w:rsid w:val="0044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7C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C9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7C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7C97"/>
    <w:pPr>
      <w:spacing w:before="160"/>
      <w:jc w:val="center"/>
    </w:pPr>
    <w:rPr>
      <w:i/>
      <w:iCs/>
      <w:color w:val="404040" w:themeColor="text1" w:themeTint="BF"/>
    </w:rPr>
  </w:style>
  <w:style w:type="character" w:customStyle="1" w:styleId="a8">
    <w:name w:val="ציטוט תו"/>
    <w:basedOn w:val="a0"/>
    <w:link w:val="a7"/>
    <w:uiPriority w:val="29"/>
    <w:rsid w:val="00447C97"/>
    <w:rPr>
      <w:i/>
      <w:iCs/>
      <w:color w:val="404040" w:themeColor="text1" w:themeTint="BF"/>
    </w:rPr>
  </w:style>
  <w:style w:type="paragraph" w:styleId="a9">
    <w:name w:val="List Paragraph"/>
    <w:basedOn w:val="a"/>
    <w:uiPriority w:val="34"/>
    <w:qFormat/>
    <w:rsid w:val="00447C97"/>
    <w:pPr>
      <w:ind w:left="720"/>
      <w:contextualSpacing/>
    </w:pPr>
  </w:style>
  <w:style w:type="character" w:styleId="aa">
    <w:name w:val="Intense Emphasis"/>
    <w:basedOn w:val="a0"/>
    <w:uiPriority w:val="21"/>
    <w:qFormat/>
    <w:rsid w:val="00447C97"/>
    <w:rPr>
      <w:i/>
      <w:iCs/>
      <w:color w:val="0F4761" w:themeColor="accent1" w:themeShade="BF"/>
    </w:rPr>
  </w:style>
  <w:style w:type="paragraph" w:styleId="ab">
    <w:name w:val="Intense Quote"/>
    <w:basedOn w:val="a"/>
    <w:next w:val="a"/>
    <w:link w:val="ac"/>
    <w:uiPriority w:val="30"/>
    <w:qFormat/>
    <w:rsid w:val="0044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7C97"/>
    <w:rPr>
      <w:i/>
      <w:iCs/>
      <w:color w:val="0F4761" w:themeColor="accent1" w:themeShade="BF"/>
    </w:rPr>
  </w:style>
  <w:style w:type="character" w:styleId="ad">
    <w:name w:val="Intense Reference"/>
    <w:basedOn w:val="a0"/>
    <w:uiPriority w:val="32"/>
    <w:qFormat/>
    <w:rsid w:val="00447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1172</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