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530375"/>
    <w:p w:rsidR="00A024C2" w:rsidRPr="00863CCE" w:rsidRDefault="00A024C2" w:rsidP="00863CCE">
      <w:pPr>
        <w:spacing w:after="0" w:line="360" w:lineRule="auto"/>
        <w:jc w:val="both"/>
        <w:outlineLvl w:val="6"/>
        <w:rPr>
          <w:rFonts w:ascii="Keren" w:eastAsia="Times New Roman" w:hAnsi="Keren" w:cs="David"/>
          <w:b/>
          <w:bCs/>
          <w:szCs w:val="20"/>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גוי:מת גוי</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מת גוי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גוי:ערך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024C2" w:rsidRPr="00863CCE" w:rsidRDefault="00A024C2" w:rsidP="00863CCE">
      <w:pPr>
        <w:spacing w:after="0" w:line="360" w:lineRule="auto"/>
        <w:ind w:left="25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מפרנסים עניי נכרים עם עניי ישראל, ומבקרים חולי נכרים עם עניי ישראל, וקוברים מתי נכרים עם מתי ישראל מפני דרכי שלום (גיטין סא, א). </w:t>
      </w:r>
    </w:p>
    <w:p w:rsidR="00A024C2" w:rsidRPr="00863CCE" w:rsidRDefault="00A024C2"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כלומר, למרות שציווי התורה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(ויקרא יט, יח) נאמר על רעך מבני עמך, תקנת חכמים לנהוג גמילות חסדים עם כל אדם, גם מי שאינו מעם ישראל. תכונתם של ישראל היא גמילות חסדים, וזו מידתו של אברהם אבינו שנהג חסד עם כלל בני האדם. וכיון שכך, ראוי לישראל שימשיכו את מידותיהם המתוקנות של האבות. </w:t>
      </w:r>
    </w:p>
    <w:p w:rsidR="00A024C2" w:rsidRPr="00863CCE" w:rsidRDefault="00A024C2" w:rsidP="00863CCE">
      <w:pPr>
        <w:spacing w:after="0" w:line="360" w:lineRule="auto"/>
        <w:jc w:val="both"/>
        <w:rPr>
          <w:rFonts w:ascii="Keren" w:eastAsia="Times New Roman" w:hAnsi="Keren" w:cs="David"/>
          <w:szCs w:val="20"/>
          <w:rtl/>
          <w:lang w:eastAsia="he-IL"/>
          <w14:ligatures w14:val="none"/>
        </w:rPr>
      </w:pPr>
      <w:r w:rsidRPr="00863CCE">
        <w:rPr>
          <w:rFonts w:ascii="Times New Roman" w:eastAsia="Times New Roman" w:hAnsi="Times New Roman" w:cs="David"/>
          <w:sz w:val="18"/>
          <w:szCs w:val="20"/>
          <w:rtl/>
          <w:lang w:eastAsia="he-IL"/>
          <w14:ligatures w14:val="none"/>
        </w:rPr>
        <w:t>את הביטוי "קוברים מתי נכרים עם מתי ישראל", פירש רש"י: לא שיקברום בקבר ישראל, אלא שמשתדלים בקבורתם כמו שמשתדלים בקבורת ישראל</w:t>
      </w:r>
      <w:r w:rsidRPr="00863CCE">
        <w:rPr>
          <w:rFonts w:ascii="Keren" w:eastAsia="Times New Roman" w:hAnsi="Keren" w:cs="David"/>
          <w:szCs w:val="20"/>
          <w:rtl/>
          <w:lang w:eastAsia="he-IL"/>
          <w14:ligatures w14:val="none"/>
        </w:rPr>
        <w:t>.</w:t>
      </w:r>
    </w:p>
    <w:p w:rsidR="00A024C2" w:rsidRPr="00863CCE" w:rsidRDefault="00A024C2"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כך גם נפסק להלכה: "קוברין מתי גויים ומנחמים אבליהם ומבקרים חוליהם מפני דרכי שלום" (רמב"ם הלכות אבל פרק יד, יב). וכן בשלחן ערוך (יורה דעה סימן שסז, א). </w:t>
      </w:r>
    </w:p>
    <w:p w:rsidR="00D5072B" w:rsidRDefault="00A024C2">
      <w:r w:rsidRPr="00863CCE">
        <w:rPr>
          <w:rFonts w:ascii="Keren" w:eastAsia="Times New Roman" w:hAnsi="Keren" w:cs="David"/>
          <w:szCs w:val="20"/>
          <w:rtl/>
          <w:lang w:eastAsia="he-IL"/>
          <w14:ligatures w14:val="none"/>
        </w:rPr>
        <w:t xml:space="preserve">לגבי השתתפות בלוויה וקבורה של גויים, אם אין סממנים של דת אחרת מותר. אך אם ישנו טקס דתי של דת אחרת, או שהטקס נערך בתוך כנסיה נוצרית, אין להשתתף בטקס. (כך הורה לי הרב יעקב רוז'ה שליט"א). ע"ע </w:t>
      </w:r>
      <w:r w:rsidRPr="00863CCE">
        <w:rPr>
          <w:rFonts w:ascii="Keren" w:eastAsia="Times New Roman" w:hAnsi="Keren" w:cs="David"/>
          <w:b/>
          <w:bCs/>
          <w:szCs w:val="20"/>
          <w:rtl/>
          <w:lang w:eastAsia="he-IL"/>
          <w14:ligatures w14:val="none"/>
        </w:rPr>
        <w:t>דרכי שלום.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C2"/>
    <w:rsid w:val="000D0A23"/>
    <w:rsid w:val="002C1211"/>
    <w:rsid w:val="005C4B14"/>
    <w:rsid w:val="00A024C2"/>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E8DD1D-DCB9-4B78-95C9-D042C0B9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2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02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024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024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024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024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24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24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24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024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024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024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024C2"/>
    <w:rPr>
      <w:rFonts w:eastAsiaTheme="majorEastAsia" w:cstheme="majorBidi"/>
      <w:i/>
      <w:iCs/>
      <w:color w:val="0F4761" w:themeColor="accent1" w:themeShade="BF"/>
    </w:rPr>
  </w:style>
  <w:style w:type="character" w:customStyle="1" w:styleId="50">
    <w:name w:val="כותרת 5 תו"/>
    <w:basedOn w:val="a0"/>
    <w:link w:val="5"/>
    <w:uiPriority w:val="9"/>
    <w:semiHidden/>
    <w:rsid w:val="00A024C2"/>
    <w:rPr>
      <w:rFonts w:eastAsiaTheme="majorEastAsia" w:cstheme="majorBidi"/>
      <w:color w:val="0F4761" w:themeColor="accent1" w:themeShade="BF"/>
    </w:rPr>
  </w:style>
  <w:style w:type="character" w:customStyle="1" w:styleId="60">
    <w:name w:val="כותרת 6 תו"/>
    <w:basedOn w:val="a0"/>
    <w:link w:val="6"/>
    <w:uiPriority w:val="9"/>
    <w:semiHidden/>
    <w:rsid w:val="00A024C2"/>
    <w:rPr>
      <w:rFonts w:eastAsiaTheme="majorEastAsia" w:cstheme="majorBidi"/>
      <w:i/>
      <w:iCs/>
      <w:color w:val="595959" w:themeColor="text1" w:themeTint="A6"/>
    </w:rPr>
  </w:style>
  <w:style w:type="character" w:customStyle="1" w:styleId="70">
    <w:name w:val="כותרת 7 תו"/>
    <w:basedOn w:val="a0"/>
    <w:link w:val="7"/>
    <w:uiPriority w:val="9"/>
    <w:semiHidden/>
    <w:rsid w:val="00A024C2"/>
    <w:rPr>
      <w:rFonts w:eastAsiaTheme="majorEastAsia" w:cstheme="majorBidi"/>
      <w:color w:val="595959" w:themeColor="text1" w:themeTint="A6"/>
    </w:rPr>
  </w:style>
  <w:style w:type="character" w:customStyle="1" w:styleId="80">
    <w:name w:val="כותרת 8 תו"/>
    <w:basedOn w:val="a0"/>
    <w:link w:val="8"/>
    <w:uiPriority w:val="9"/>
    <w:semiHidden/>
    <w:rsid w:val="00A024C2"/>
    <w:rPr>
      <w:rFonts w:eastAsiaTheme="majorEastAsia" w:cstheme="majorBidi"/>
      <w:i/>
      <w:iCs/>
      <w:color w:val="272727" w:themeColor="text1" w:themeTint="D8"/>
    </w:rPr>
  </w:style>
  <w:style w:type="character" w:customStyle="1" w:styleId="90">
    <w:name w:val="כותרת 9 תו"/>
    <w:basedOn w:val="a0"/>
    <w:link w:val="9"/>
    <w:uiPriority w:val="9"/>
    <w:semiHidden/>
    <w:rsid w:val="00A024C2"/>
    <w:rPr>
      <w:rFonts w:eastAsiaTheme="majorEastAsia" w:cstheme="majorBidi"/>
      <w:color w:val="272727" w:themeColor="text1" w:themeTint="D8"/>
    </w:rPr>
  </w:style>
  <w:style w:type="paragraph" w:styleId="a3">
    <w:name w:val="Title"/>
    <w:basedOn w:val="a"/>
    <w:next w:val="a"/>
    <w:link w:val="a4"/>
    <w:uiPriority w:val="10"/>
    <w:qFormat/>
    <w:rsid w:val="00A02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02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24C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024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024C2"/>
    <w:pPr>
      <w:spacing w:before="160"/>
      <w:jc w:val="center"/>
    </w:pPr>
    <w:rPr>
      <w:i/>
      <w:iCs/>
      <w:color w:val="404040" w:themeColor="text1" w:themeTint="BF"/>
    </w:rPr>
  </w:style>
  <w:style w:type="character" w:customStyle="1" w:styleId="a8">
    <w:name w:val="ציטוט תו"/>
    <w:basedOn w:val="a0"/>
    <w:link w:val="a7"/>
    <w:uiPriority w:val="29"/>
    <w:rsid w:val="00A024C2"/>
    <w:rPr>
      <w:i/>
      <w:iCs/>
      <w:color w:val="404040" w:themeColor="text1" w:themeTint="BF"/>
    </w:rPr>
  </w:style>
  <w:style w:type="paragraph" w:styleId="a9">
    <w:name w:val="List Paragraph"/>
    <w:basedOn w:val="a"/>
    <w:uiPriority w:val="34"/>
    <w:qFormat/>
    <w:rsid w:val="00A024C2"/>
    <w:pPr>
      <w:ind w:left="720"/>
      <w:contextualSpacing/>
    </w:pPr>
  </w:style>
  <w:style w:type="character" w:styleId="aa">
    <w:name w:val="Intense Emphasis"/>
    <w:basedOn w:val="a0"/>
    <w:uiPriority w:val="21"/>
    <w:qFormat/>
    <w:rsid w:val="00A024C2"/>
    <w:rPr>
      <w:i/>
      <w:iCs/>
      <w:color w:val="0F4761" w:themeColor="accent1" w:themeShade="BF"/>
    </w:rPr>
  </w:style>
  <w:style w:type="paragraph" w:styleId="ab">
    <w:name w:val="Intense Quote"/>
    <w:basedOn w:val="a"/>
    <w:next w:val="a"/>
    <w:link w:val="ac"/>
    <w:uiPriority w:val="30"/>
    <w:qFormat/>
    <w:rsid w:val="00A02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024C2"/>
    <w:rPr>
      <w:i/>
      <w:iCs/>
      <w:color w:val="0F4761" w:themeColor="accent1" w:themeShade="BF"/>
    </w:rPr>
  </w:style>
  <w:style w:type="character" w:styleId="ad">
    <w:name w:val="Intense Reference"/>
    <w:basedOn w:val="a0"/>
    <w:uiPriority w:val="32"/>
    <w:qFormat/>
    <w:rsid w:val="00A02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822</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