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075C" w:rsidRPr="00863CCE" w:rsidRDefault="0031075C" w:rsidP="00863CCE">
      <w:pPr>
        <w:spacing w:after="0" w:line="360" w:lineRule="auto"/>
        <w:jc w:val="both"/>
        <w:outlineLvl w:val="6"/>
        <w:rPr>
          <w:rFonts w:ascii="Keren" w:eastAsia="Times New Roman" w:hAnsi="Keren" w:cs="David"/>
          <w:b/>
          <w:bCs/>
          <w:szCs w:val="20"/>
          <w:rtl/>
          <w:lang w:eastAsia="he-IL"/>
          <w14:ligatures w14:val="none"/>
        </w:rPr>
      </w:pPr>
      <w:bookmarkStart w:id="0" w:name="_Toc88530376"/>
      <w:r w:rsidRPr="00863CCE">
        <w:rPr>
          <w:rFonts w:ascii="Keren" w:eastAsia="Times New Roman" w:hAnsi="Keren" w:cs="David"/>
          <w:b/>
          <w:bCs/>
          <w:sz w:val="26"/>
          <w:szCs w:val="24"/>
          <w:rtl/>
          <w:lang w:eastAsia="he-IL"/>
          <w14:ligatures w14:val="none"/>
        </w:rPr>
        <w:t>מת</w:t>
      </w: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"מת" \</w:instrText>
      </w:r>
      <w:r w:rsidRPr="00863CCE">
        <w:rPr>
          <w:rFonts w:ascii="Keren" w:eastAsia="Times New Roman" w:hAnsi="Keren" w:cs="David" w:hint="cs"/>
          <w:b/>
          <w:bCs/>
          <w:sz w:val="26"/>
          <w:szCs w:val="24"/>
          <w:lang w:eastAsia="he-IL"/>
          <w14:ligatures w14:val="none"/>
        </w:rPr>
        <w:instrText>t "</w:instrText>
      </w:r>
      <w:r w:rsidRPr="00863CCE">
        <w:rPr>
          <w:rFonts w:ascii="Times New Roman" w:eastAsia="Times New Roman" w:hAnsi="Times New Roman" w:cs="Times New Roman"/>
          <w:b/>
          <w:bCs/>
          <w:i/>
          <w:sz w:val="26"/>
          <w:szCs w:val="24"/>
          <w:rtl/>
          <w:lang w:eastAsia="he-IL"/>
          <w14:ligatures w14:val="none"/>
        </w:rPr>
        <w:instrText>ראה</w:instrText>
      </w:r>
      <w:r w:rsidRPr="00863CCE">
        <w:rPr>
          <w:rFonts w:ascii="Times New Roman" w:eastAsia="Times New Roman" w:hAnsi="Times New Roman" w:cs="Times New Roman"/>
          <w:b/>
          <w:bCs/>
          <w:sz w:val="26"/>
          <w:szCs w:val="24"/>
          <w:rtl/>
          <w:lang w:eastAsia="he-IL"/>
          <w14:ligatures w14:val="none"/>
        </w:rPr>
        <w:instrText xml:space="preserve"> גם נפטר</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 xml:space="preserve"> מצוה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"מת מצוה:ערך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31075C" w:rsidRPr="00863CCE" w:rsidRDefault="0031075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מת שאין לו קרובים שיתעסקו בקבורתו והוא עלול להיות מוטל בביזיון, מצוה על כל מי שיכול לטפל בו ולהביאו לקבורה. </w:t>
      </w:r>
    </w:p>
    <w:p w:rsidR="0031075C" w:rsidRPr="00863CCE" w:rsidRDefault="0031075C"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איזהו מת מצוה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מת מצוה:</w:instrText>
      </w:r>
      <w:r w:rsidRPr="00863CCE">
        <w:rPr>
          <w:rFonts w:ascii="Keren" w:eastAsia="Times New Roman" w:hAnsi="Keren" w:cs="David"/>
          <w:sz w:val="28"/>
          <w:szCs w:val="24"/>
          <w:rtl/>
          <w:lang w:eastAsia="he-IL"/>
          <w14:ligatures w14:val="none"/>
        </w:rPr>
        <w:instrText>הגדרתו"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כל שהוא צווח ואין בני העיר שומעין את קולו. אבל בני העיר שומעין את קולו, אין זה מת מצוה.  לעולם הוא מת מצוה עד שיהא שם כדי נושאי מיטה וקובריה" (מסכת שמחות פרק ד, כט – ל). </w:t>
      </w:r>
    </w:p>
    <w:p w:rsidR="0031075C" w:rsidRPr="00863CCE" w:rsidRDefault="0031075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כיון שמצוה גדולה היא לקבור את המת, מת שאין מי שייקברנו הכל חייבים בקבורתו. אפילו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"כהן:להיטמא למת מצוה"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כהן גדול ונזיר האסורים להיטמא למת, נטמאים למת מצוה. מבטלים רוב מצוות כדי לקבור מת מצוה. קבורת מת מצוה קודמת למקרא מגילה אם יש שהות לקרוא מגילה לאחר מכן. ויש אומרים שאפילו אם אין שהות לאחר מכן, מת מצוה קודם (מגילה ג, ב; שלחן ערוך אורח חיים סימן תרפז, ב; משנה ברורה שם).</w:t>
      </w:r>
    </w:p>
    <w:p w:rsidR="0031075C" w:rsidRPr="00863CCE" w:rsidRDefault="0031075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אחד מעשרה תנאים שהתנה יהושע בן נון הוא שמת מצוה קנה מקומו ולכן נקבר במקום שנמצא - אם מצאו מחוץ לתחום, אבל מצאו בתוך תחום העיר מביאו לבית הקברות. </w:t>
      </w:r>
    </w:p>
    <w:p w:rsidR="0031075C" w:rsidRPr="00863CCE" w:rsidRDefault="0031075C" w:rsidP="00863CCE">
      <w:pPr>
        <w:spacing w:after="0" w:line="360" w:lineRule="auto"/>
        <w:jc w:val="both"/>
        <w:rPr>
          <w:rFonts w:ascii="Times New Roman" w:eastAsia="Times New Roman" w:hAnsi="Times New Roman" w:cs="David"/>
          <w:sz w:val="20"/>
          <w:szCs w:val="24"/>
          <w:rtl/>
          <w:lang w:eastAsia="he-IL"/>
          <w14:ligatures w14:val="none"/>
        </w:rPr>
      </w:pPr>
      <w:r w:rsidRPr="00863CCE">
        <w:rPr>
          <w:rFonts w:ascii="Keren" w:eastAsia="Times New Roman" w:hAnsi="Keren" w:cs="David"/>
          <w:szCs w:val="20"/>
          <w:rtl/>
          <w:lang w:eastAsia="he-IL"/>
          <w14:ligatures w14:val="none"/>
        </w:rPr>
        <w:t>הגדרת מת מצוה היא רק אם מצאו ראשו ורובו. (בבא קמא פא, א - ב; שלחן ערוך יורה דעה סימן שסד, ג; שעד, א – ג).</w:t>
      </w:r>
    </w:p>
    <w:p w:rsidR="0031075C" w:rsidRPr="00863CCE" w:rsidRDefault="0031075C" w:rsidP="00863CCE">
      <w:pPr>
        <w:autoSpaceDE w:val="0"/>
        <w:autoSpaceDN w:val="0"/>
        <w:adjustRightInd w:val="0"/>
        <w:spacing w:after="0" w:line="360" w:lineRule="auto"/>
        <w:ind w:left="386"/>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עקיבא"</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 w:val="18"/>
          <w:szCs w:val="20"/>
          <w:rtl/>
          <w:lang w:eastAsia="he-IL"/>
          <w14:ligatures w14:val="none"/>
        </w:rPr>
        <w:fldChar w:fldCharType="end"/>
      </w:r>
      <w:r w:rsidRPr="00863CCE">
        <w:rPr>
          <w:rFonts w:ascii="Times New Roman" w:eastAsia="Times New Roman" w:hAnsi="Times New Roman" w:cs="David"/>
          <w:color w:val="000000"/>
          <w:sz w:val="18"/>
          <w:szCs w:val="20"/>
          <w:rtl/>
          <w:lang w:eastAsia="he-IL"/>
          <w14:ligatures w14:val="none"/>
        </w:rPr>
        <w:t xml:space="preserve">אמר רבי עקיבא זו היתה תחילת תשמישי לפני חכמים, השכמתי ומצאתי הרוג אחד והייתי מטפל בו ב(מרחק של) שלֹשה תחומי שבת עד שהבאתיו למקום קבורה וקברתיו, וכשבאתי והשערתי דברים לפני חכמים, אמרו לי על כל פסיעה ופסיעה שהיית פוסע מעלין עליך כאילו היית שופך דמים. ודנתי קל וחומר בעצמי, ומה אם עכשיו שנתכוונתי לזכות חטאתי, אילו נתכוונתי למעט על אחת כמה וכמה. וכשהיו אומרים דבר זה לפני רבי עקיבא היה אומר זו היתה תחילת זכותי (מסכת שמחות סוף פרק ד). </w:t>
      </w:r>
    </w:p>
    <w:p w:rsidR="0031075C" w:rsidRPr="00863CCE" w:rsidRDefault="0031075C" w:rsidP="00863CCE">
      <w:pPr>
        <w:autoSpaceDE w:val="0"/>
        <w:autoSpaceDN w:val="0"/>
        <w:adjustRightInd w:val="0"/>
        <w:spacing w:after="0" w:line="360" w:lineRule="auto"/>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תוספות (כתובות יז, א) כתבו שההקפדה על רבי עקיבא היתה מפני שמת מצוה קנה מקומו. פירוש שני בתוספות מפרש שההקפדה עליו היתה כיון שלא שימש תלמידי חכמים, וכך הגירסה בירושלמי נזיר (פרק ז, א) "באותה שעה לא זזתי מלשמש תלמידי חכמים. הוא היה אומר: דלא שמש חכימיא – קטלא חייב".</w:t>
      </w:r>
    </w:p>
    <w:p w:rsidR="0031075C" w:rsidRPr="00863CCE" w:rsidRDefault="0031075C" w:rsidP="00863CCE">
      <w:pPr>
        <w:autoSpaceDE w:val="0"/>
        <w:autoSpaceDN w:val="0"/>
        <w:adjustRightInd w:val="0"/>
        <w:spacing w:after="0" w:line="360" w:lineRule="auto"/>
        <w:jc w:val="both"/>
        <w:rPr>
          <w:rFonts w:ascii="Times New Roman" w:eastAsia="Times New Roman" w:hAnsi="Times New Roman" w:cs="David"/>
          <w:sz w:val="20"/>
          <w:szCs w:val="24"/>
          <w:rtl/>
          <w:lang w:eastAsia="he-IL"/>
          <w14:ligatures w14:val="none"/>
        </w:rPr>
      </w:pPr>
      <w:r w:rsidRPr="00863CCE">
        <w:rPr>
          <w:rFonts w:ascii="Times New Roman" w:eastAsia="Times New Roman" w:hAnsi="Times New Roman" w:cs="David"/>
          <w:color w:val="000000"/>
          <w:sz w:val="18"/>
          <w:szCs w:val="20"/>
          <w:rtl/>
          <w:lang w:eastAsia="he-IL"/>
          <w14:ligatures w14:val="none"/>
        </w:rPr>
        <w:t>בזמן הזה אין נוהג דין מת מצוה שקונה מקומו, וצריך לפנותו לבית הקברות. והטעם כיון שאי אפשר לפקח כראוי על ציון קברים לכן יש לקבור בבתי קברות קבועים, שזה מגן על טהרת ארץ ישראל. וגם מסתבר שכך הוא רצון המשפחה שייקבר בבית קברות מסודר ולא בשממון, ואם כן אפשר להחשיב זאת כאילו נקבר על מנת לפנותו. טעם נוסף הוא כדי למנוע תקלה מהכהנים כדי שלא ייטמאו. (חזון איש יורה דעה סימן רט, יג).</w:t>
      </w:r>
    </w:p>
    <w:p w:rsidR="00D5072B" w:rsidRDefault="0031075C">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 xml:space="preserve">גניזה. טומאת כהן. פינוי קבר. קבר הנמצא.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75C"/>
    <w:rsid w:val="000D0A23"/>
    <w:rsid w:val="002C1211"/>
    <w:rsid w:val="0031075C"/>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B6489-F118-4B67-9F86-2FD3C44D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0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0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075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075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075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07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07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07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07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1075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1075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1075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1075C"/>
    <w:rPr>
      <w:rFonts w:eastAsiaTheme="majorEastAsia" w:cstheme="majorBidi"/>
      <w:i/>
      <w:iCs/>
      <w:color w:val="0F4761" w:themeColor="accent1" w:themeShade="BF"/>
    </w:rPr>
  </w:style>
  <w:style w:type="character" w:customStyle="1" w:styleId="50">
    <w:name w:val="כותרת 5 תו"/>
    <w:basedOn w:val="a0"/>
    <w:link w:val="5"/>
    <w:uiPriority w:val="9"/>
    <w:semiHidden/>
    <w:rsid w:val="0031075C"/>
    <w:rPr>
      <w:rFonts w:eastAsiaTheme="majorEastAsia" w:cstheme="majorBidi"/>
      <w:color w:val="0F4761" w:themeColor="accent1" w:themeShade="BF"/>
    </w:rPr>
  </w:style>
  <w:style w:type="character" w:customStyle="1" w:styleId="60">
    <w:name w:val="כותרת 6 תו"/>
    <w:basedOn w:val="a0"/>
    <w:link w:val="6"/>
    <w:uiPriority w:val="9"/>
    <w:semiHidden/>
    <w:rsid w:val="0031075C"/>
    <w:rPr>
      <w:rFonts w:eastAsiaTheme="majorEastAsia" w:cstheme="majorBidi"/>
      <w:i/>
      <w:iCs/>
      <w:color w:val="595959" w:themeColor="text1" w:themeTint="A6"/>
    </w:rPr>
  </w:style>
  <w:style w:type="character" w:customStyle="1" w:styleId="70">
    <w:name w:val="כותרת 7 תו"/>
    <w:basedOn w:val="a0"/>
    <w:link w:val="7"/>
    <w:uiPriority w:val="9"/>
    <w:semiHidden/>
    <w:rsid w:val="0031075C"/>
    <w:rPr>
      <w:rFonts w:eastAsiaTheme="majorEastAsia" w:cstheme="majorBidi"/>
      <w:color w:val="595959" w:themeColor="text1" w:themeTint="A6"/>
    </w:rPr>
  </w:style>
  <w:style w:type="character" w:customStyle="1" w:styleId="80">
    <w:name w:val="כותרת 8 תו"/>
    <w:basedOn w:val="a0"/>
    <w:link w:val="8"/>
    <w:uiPriority w:val="9"/>
    <w:semiHidden/>
    <w:rsid w:val="0031075C"/>
    <w:rPr>
      <w:rFonts w:eastAsiaTheme="majorEastAsia" w:cstheme="majorBidi"/>
      <w:i/>
      <w:iCs/>
      <w:color w:val="272727" w:themeColor="text1" w:themeTint="D8"/>
    </w:rPr>
  </w:style>
  <w:style w:type="character" w:customStyle="1" w:styleId="90">
    <w:name w:val="כותרת 9 תו"/>
    <w:basedOn w:val="a0"/>
    <w:link w:val="9"/>
    <w:uiPriority w:val="9"/>
    <w:semiHidden/>
    <w:rsid w:val="0031075C"/>
    <w:rPr>
      <w:rFonts w:eastAsiaTheme="majorEastAsia" w:cstheme="majorBidi"/>
      <w:color w:val="272727" w:themeColor="text1" w:themeTint="D8"/>
    </w:rPr>
  </w:style>
  <w:style w:type="paragraph" w:styleId="a3">
    <w:name w:val="Title"/>
    <w:basedOn w:val="a"/>
    <w:next w:val="a"/>
    <w:link w:val="a4"/>
    <w:uiPriority w:val="10"/>
    <w:qFormat/>
    <w:rsid w:val="00310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107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075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1075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1075C"/>
    <w:pPr>
      <w:spacing w:before="160"/>
      <w:jc w:val="center"/>
    </w:pPr>
    <w:rPr>
      <w:i/>
      <w:iCs/>
      <w:color w:val="404040" w:themeColor="text1" w:themeTint="BF"/>
    </w:rPr>
  </w:style>
  <w:style w:type="character" w:customStyle="1" w:styleId="a8">
    <w:name w:val="ציטוט תו"/>
    <w:basedOn w:val="a0"/>
    <w:link w:val="a7"/>
    <w:uiPriority w:val="29"/>
    <w:rsid w:val="0031075C"/>
    <w:rPr>
      <w:i/>
      <w:iCs/>
      <w:color w:val="404040" w:themeColor="text1" w:themeTint="BF"/>
    </w:rPr>
  </w:style>
  <w:style w:type="paragraph" w:styleId="a9">
    <w:name w:val="List Paragraph"/>
    <w:basedOn w:val="a"/>
    <w:uiPriority w:val="34"/>
    <w:qFormat/>
    <w:rsid w:val="0031075C"/>
    <w:pPr>
      <w:ind w:left="720"/>
      <w:contextualSpacing/>
    </w:pPr>
  </w:style>
  <w:style w:type="character" w:styleId="aa">
    <w:name w:val="Intense Emphasis"/>
    <w:basedOn w:val="a0"/>
    <w:uiPriority w:val="21"/>
    <w:qFormat/>
    <w:rsid w:val="0031075C"/>
    <w:rPr>
      <w:i/>
      <w:iCs/>
      <w:color w:val="0F4761" w:themeColor="accent1" w:themeShade="BF"/>
    </w:rPr>
  </w:style>
  <w:style w:type="paragraph" w:styleId="ab">
    <w:name w:val="Intense Quote"/>
    <w:basedOn w:val="a"/>
    <w:next w:val="a"/>
    <w:link w:val="ac"/>
    <w:uiPriority w:val="30"/>
    <w:qFormat/>
    <w:rsid w:val="00310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1075C"/>
    <w:rPr>
      <w:i/>
      <w:iCs/>
      <w:color w:val="0F4761" w:themeColor="accent1" w:themeShade="BF"/>
    </w:rPr>
  </w:style>
  <w:style w:type="character" w:styleId="ad">
    <w:name w:val="Intense Reference"/>
    <w:basedOn w:val="a0"/>
    <w:uiPriority w:val="32"/>
    <w:qFormat/>
    <w:rsid w:val="003107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360</Words>
  <Characters>1802</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