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4718" w:rsidRPr="00863CCE" w:rsidRDefault="00DD471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78"/>
      <w:r w:rsidRPr="00863CCE">
        <w:rPr>
          <w:rFonts w:ascii="Keren" w:eastAsia="Times New Roman" w:hAnsi="Keren" w:cs="David"/>
          <w:b/>
          <w:bCs/>
          <w:sz w:val="26"/>
          <w:szCs w:val="24"/>
          <w:rtl/>
          <w:lang w:eastAsia="he-IL"/>
          <w14:ligatures w14:val="none"/>
        </w:rPr>
        <w:t>ניחום אבלים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"ניחום אבלים:ערך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"אישים:יצחק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DD4718" w:rsidRPr="00863CCE" w:rsidRDefault="00DD4718"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מנהג קדמון לנחם אבלים מיגונם. יצחק התנחם אחרי אמו (בראשית כז, סז). יעקב חשב שיוסף מת ולכן "</w:t>
      </w:r>
      <w:r w:rsidRPr="00863CCE">
        <w:rPr>
          <w:rFonts w:ascii="Times New Roman" w:eastAsia="Times New Roman" w:hAnsi="Times New Roman" w:cs="David"/>
          <w:sz w:val="20"/>
          <w:szCs w:val="20"/>
          <w:rtl/>
          <w14:ligatures w14:val="none"/>
        </w:rPr>
        <w:t xml:space="preserve">וַיִּקְרַע יַעֲקֹב שִׂמְלֹתָיו וַיָּשֶׂם שַׂק בְּמָתְנָיו וַיִּתְאַבֵּל עַל בְּנוֹ יָמִים רַבִּים: וַיָּקֻמוּ כָל בָּנָיו וְכָל בְּנֹתָיו לְנַחֲמוֹ" </w:t>
      </w:r>
      <w:r w:rsidRPr="00863CCE">
        <w:rPr>
          <w:rFonts w:ascii="Keren" w:eastAsia="Times New Roman" w:hAnsi="Keren" w:cs="David"/>
          <w:szCs w:val="20"/>
          <w:rtl/>
          <w:lang w:eastAsia="he-IL"/>
          <w14:ligatures w14:val="none"/>
        </w:rPr>
        <w:t>(שם לז, לד - לה). בגמרא (סוטה יד, א) מצינו שה' בעצמו מנחם אבלים, ממה שכתוב "</w:t>
      </w:r>
      <w:r w:rsidRPr="00863CCE">
        <w:rPr>
          <w:rFonts w:ascii="Keren" w:eastAsia="Times New Roman" w:hAnsi="Keren" w:cs="David"/>
          <w:sz w:val="20"/>
          <w:szCs w:val="20"/>
          <w:rtl/>
          <w:lang w:eastAsia="he-IL"/>
          <w14:ligatures w14:val="none"/>
        </w:rPr>
        <w:t>וַיְהִי אַחֲרֵי מוֹת אַבְרָהָם וַיְבָרֶךְ אֱלֹהִים אֶת יִצְחָק בְּנוֹ</w:t>
      </w:r>
      <w:r w:rsidRPr="00863CCE">
        <w:rPr>
          <w:rFonts w:ascii="Keren" w:eastAsia="Times New Roman" w:hAnsi="Keren" w:cs="David"/>
          <w:szCs w:val="20"/>
          <w:rtl/>
          <w:lang w:eastAsia="he-IL"/>
          <w14:ligatures w14:val="none"/>
        </w:rPr>
        <w:t>" (בראשית כה, יא), ופירש רש"י שם "ויברך אלהים את יצחק" – נחמו על אביו וברכו ברכת אבלים. גם אצל יעקב אבינו לאחר שנתבשר על פטירת אמו נחמו ה' בברכת אבלים (רש"י בראשית לה, ח – ט ).</w:t>
      </w:r>
    </w:p>
    <w:p w:rsidR="00DD4718" w:rsidRPr="00863CCE" w:rsidRDefault="00DD471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בספרות חז"ל מצאנו התייחסות רבה לנושא ניחום אבלים כחלק מגמילות חסדים, למנהגים שונים לפי האנשים ומעמדם. מנהגים שהשתנו בעקבות אירועים,לפי המקומות ולפי הזמנים.  </w:t>
      </w:r>
    </w:p>
    <w:p w:rsidR="00DD4718" w:rsidRPr="00863CCE" w:rsidRDefault="00DD4718"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בראשונה היו אבלים עומדים וכל העם עוברים, והיו שתי משפחות בירושלים מתגרות זו בזו. זו אומרת אני עוברת תחילה, וזו אומרת אני עוברת תחילה. התקינו שיהו העם עומדים, ואבלים עוברים (סנהדרין יט, א).</w:t>
      </w:r>
    </w:p>
    <w:p w:rsidR="00DD4718" w:rsidRPr="00863CCE" w:rsidRDefault="00DD4718"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"אישים:שלמה המלך"</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ראה שלמה שמידת גמילות חסדים גדולה לפני המקום, וכשבנה בית המקדש בנה שני שערים: אחד לחתנים ואחד לאבלים ולמנודים. והיו ישראל הולכים בשבתות ויושבים בין שני שערים הללו. הנכנס בשער חתנים, היו יודעים שהוא חתן, והיו אומרים לו: השוכן בבית הזה ישמחך בבנים ובבנות. והנכנס בשער אבלים והיה שפמו מכוסה, היו יודעים שהוא אבל, והיו אומרים לו: השוכן בבית הזה ינחמך. כדי שיצאו כל ישראל ידי חובתם בגמילות חסדים.</w:t>
      </w:r>
    </w:p>
    <w:p w:rsidR="00DD4718" w:rsidRPr="00863CCE" w:rsidRDefault="00DD4718"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משחרב בית המקדש  התקינו שיהיו חתנים ואבלים הולכים לבתי כנסיות ובתי מדרשות, ואנשי המקום רואים את החתן ושמחים עמו, ורואים את האבל ויושבים עמו על הארץ, כדי שישבו ויצאו ישראל ידי חובתם בגמילות חסדים. ועליהם הוא אומר "ברוך אתה ה' גומל שכר טוב לגומלי חסדים" (פרקי רבי אליעזר סוף פרק שבעה עשר, מובא גם בטור יורה דעה סימן שצג).</w:t>
      </w:r>
    </w:p>
    <w:p w:rsidR="00DD4718" w:rsidRPr="00863CCE" w:rsidRDefault="00DD4718" w:rsidP="00863CCE">
      <w:pPr>
        <w:spacing w:after="0" w:line="360" w:lineRule="auto"/>
        <w:ind w:left="386"/>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כהן גדול כשהוא מנחם אחרים, דרך כל העם עוברין בזה אחר זה, והממונה ממצעו בינו לבין העם. וכשהוא מתנחם מאחרים, כל העם אומרים לו "אנו כפרתך", והוא אומר להם "תתברכו מן השמים" (משנה סנהדרין פרק ב, א).</w:t>
      </w:r>
    </w:p>
    <w:p w:rsidR="00DD4718" w:rsidRPr="00863CCE" w:rsidRDefault="00DD4718" w:rsidP="00863CCE">
      <w:pPr>
        <w:spacing w:after="0" w:line="360" w:lineRule="auto"/>
        <w:ind w:left="386"/>
        <w:jc w:val="both"/>
        <w:rPr>
          <w:rFonts w:ascii="Times New Roman" w:eastAsia="Times New Roman" w:hAnsi="Times New Roman" w:cs="David"/>
          <w:szCs w:val="20"/>
          <w:rtl/>
          <w:lang w:eastAsia="he-IL"/>
          <w14:ligatures w14:val="none"/>
        </w:rPr>
      </w:pPr>
      <w:r w:rsidRPr="00863CCE">
        <w:rPr>
          <w:rFonts w:ascii="Arial" w:eastAsia="Times New Roman" w:hAnsi="Arial" w:cs="David"/>
          <w:szCs w:val="20"/>
          <w:rtl/>
          <w:lang w:eastAsia="he-IL"/>
          <w14:ligatures w14:val="none"/>
        </w:rPr>
        <w:t>כל הנכנסין להר הבית נכנסין דרך ימין, ומקיפין ויוצאין דרך שמאל. חוץ ממי שארעו דבר (אבל) שהוא מקיף לשמאל. מה לך שאתה מקיף לשמאל"?  "שאני אבל". "השוכן בבית הזה ינחמך" (משנה מידות פרק ב, ב).</w:t>
      </w:r>
    </w:p>
    <w:p w:rsidR="00DD4718" w:rsidRPr="00863CCE" w:rsidRDefault="00DD4718" w:rsidP="00863CCE">
      <w:pPr>
        <w:autoSpaceDE w:val="0"/>
        <w:autoSpaceDN w:val="0"/>
        <w:adjustRightInd w:val="0"/>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רבי נתן בן יוסף אומר, תנחומי אבלים וביקור חולים וגמילות חסדים מביאין טובה לעולם (אבות דרבי נתן פרק ל).</w:t>
      </w:r>
    </w:p>
    <w:p w:rsidR="00DD4718" w:rsidRPr="00863CCE" w:rsidRDefault="00DD4718" w:rsidP="00863CCE">
      <w:pPr>
        <w:spacing w:after="0" w:line="360" w:lineRule="auto"/>
        <w:ind w:left="386"/>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כעת נוהגים אחר שנקבר המת, עושים שתי שורות מן המלווים והאבלים עוברים דרך שם, והעומדים בשורות אומרים להם "המקום ינחם אתכם בתוך שאר אבלי ציון וירושלים". וגם הולכים לנחמם בתוך שבעת ימי האבלות (אוצר דינים ומנהגים ערך ניחום אבלים). </w:t>
      </w:r>
    </w:p>
    <w:p w:rsidR="00DD4718" w:rsidRPr="00863CCE" w:rsidRDefault="00DD4718" w:rsidP="00863CCE">
      <w:pPr>
        <w:spacing w:after="0" w:line="360" w:lineRule="auto"/>
        <w:ind w:left="386"/>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בערב שבת קודם חשכה תוך השבעה, הולך האבל לבית הכנסת לקבלת שבת, ועומד באולם עד "בואי כלה". והרב או השמש קורא את האבל לכנוס לפנים, ואחרי שגומרים "בואי כלה", אומרים לאבלים "המקום ינחם אתכם וכו' (שם).</w:t>
      </w:r>
    </w:p>
    <w:p w:rsidR="00DD4718" w:rsidRPr="00863CCE" w:rsidRDefault="00DD4718"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חלק נוסף בניחום האבלים הוא </w:t>
      </w:r>
      <w:r w:rsidRPr="00863CCE">
        <w:rPr>
          <w:rFonts w:ascii="Arial" w:eastAsia="Times New Roman" w:hAnsi="Arial" w:cs="David"/>
          <w:b/>
          <w:bCs/>
          <w:szCs w:val="20"/>
          <w:rtl/>
          <w:lang w:eastAsia="he-IL"/>
          <w14:ligatures w14:val="none"/>
        </w:rPr>
        <w:t>סעודת הבראה</w:t>
      </w:r>
      <w:r w:rsidRPr="00863CCE">
        <w:rPr>
          <w:rFonts w:ascii="Arial" w:eastAsia="Times New Roman" w:hAnsi="Arial" w:cs="David"/>
          <w:szCs w:val="20"/>
          <w:rtl/>
          <w:lang w:eastAsia="he-IL"/>
          <w14:ligatures w14:val="none"/>
        </w:rPr>
        <w:t xml:space="preserve"> שהיא הסעודה הראשונה שמברים את האבלים אחר הקבורה. </w:t>
      </w:r>
    </w:p>
    <w:p w:rsidR="00DD4718" w:rsidRPr="00863CCE" w:rsidRDefault="00DD4718" w:rsidP="00863CCE">
      <w:pPr>
        <w:tabs>
          <w:tab w:val="left" w:pos="8306"/>
        </w:tabs>
        <w:spacing w:after="0" w:line="360" w:lineRule="auto"/>
        <w:jc w:val="both"/>
        <w:rPr>
          <w:rFonts w:ascii="Keren" w:eastAsia="Times New Roman" w:hAnsi="Keren" w:cs="David"/>
          <w:i/>
          <w:iCs/>
          <w:sz w:val="18"/>
          <w:szCs w:val="20"/>
          <w:rtl/>
          <w:lang w:eastAsia="he-IL"/>
          <w14:ligatures w14:val="none"/>
        </w:rPr>
      </w:pPr>
      <w:r w:rsidRPr="00863CCE">
        <w:rPr>
          <w:rFonts w:ascii="Arial" w:eastAsia="Times New Roman" w:hAnsi="Arial" w:cs="David"/>
          <w:szCs w:val="20"/>
          <w:rtl/>
          <w:lang w:eastAsia="he-IL"/>
          <w14:ligatures w14:val="none"/>
        </w:rPr>
        <w:t>ב</w:t>
      </w:r>
      <w:r w:rsidRPr="00863CCE">
        <w:rPr>
          <w:rFonts w:ascii="Arial" w:eastAsia="Times New Roman" w:hAnsi="Arial" w:cs="David"/>
          <w:b/>
          <w:bCs/>
          <w:szCs w:val="20"/>
          <w:rtl/>
          <w:lang w:eastAsia="he-IL"/>
          <w14:ligatures w14:val="none"/>
        </w:rPr>
        <w:t xml:space="preserve">ברכת המזון </w:t>
      </w:r>
      <w:r w:rsidRPr="00863CCE">
        <w:rPr>
          <w:rFonts w:ascii="Arial" w:eastAsia="Times New Roman" w:hAnsi="Arial" w:cs="David"/>
          <w:szCs w:val="20"/>
          <w:rtl/>
          <w:lang w:eastAsia="he-IL"/>
          <w14:ligatures w14:val="none"/>
        </w:rPr>
        <w:t xml:space="preserve">אומר: נברך מנחם אבלים שאכלנו משלו, והם עונים: ברוך מנחם אבלים שאכלנו משלו ובטובו חיינו. </w:t>
      </w:r>
      <w:r w:rsidRPr="00863CCE">
        <w:rPr>
          <w:rFonts w:ascii="Keren" w:eastAsia="Times New Roman" w:hAnsi="Keren" w:cs="David"/>
          <w:sz w:val="18"/>
          <w:szCs w:val="20"/>
          <w:rtl/>
          <w:lang w:eastAsia="he-IL"/>
          <w14:ligatures w14:val="none"/>
        </w:rPr>
        <w:t>מנהג עדות המזרח לומר "</w:t>
      </w:r>
      <w:r w:rsidRPr="00863CCE">
        <w:rPr>
          <w:rFonts w:ascii="Keren" w:eastAsia="Times New Roman" w:hAnsi="Keren" w:cs="David"/>
          <w:b/>
          <w:bCs/>
          <w:sz w:val="18"/>
          <w:szCs w:val="20"/>
          <w:rtl/>
          <w:lang w:eastAsia="he-IL"/>
          <w14:ligatures w14:val="none"/>
        </w:rPr>
        <w:t>מן השמים תנוחמו</w:t>
      </w:r>
      <w:r w:rsidRPr="00863CCE">
        <w:rPr>
          <w:rFonts w:ascii="Keren" w:eastAsia="Times New Roman" w:hAnsi="Keren" w:cs="David"/>
          <w:sz w:val="18"/>
          <w:szCs w:val="20"/>
          <w:rtl/>
          <w:lang w:eastAsia="he-IL"/>
          <w14:ligatures w14:val="none"/>
        </w:rPr>
        <w:t>". מנהג עדות תימן לומר "</w:t>
      </w:r>
      <w:r w:rsidRPr="00863CCE">
        <w:rPr>
          <w:rFonts w:ascii="Keren" w:eastAsia="Times New Roman" w:hAnsi="Keren" w:cs="David"/>
          <w:b/>
          <w:bCs/>
          <w:sz w:val="18"/>
          <w:szCs w:val="20"/>
          <w:rtl/>
          <w:lang w:eastAsia="he-IL"/>
          <w14:ligatures w14:val="none"/>
        </w:rPr>
        <w:t>תנוחמו מן השמים</w:t>
      </w:r>
      <w:r w:rsidRPr="00863CCE">
        <w:rPr>
          <w:rFonts w:ascii="Keren" w:eastAsia="Times New Roman" w:hAnsi="Keren" w:cs="David"/>
          <w:sz w:val="18"/>
          <w:szCs w:val="20"/>
          <w:rtl/>
          <w:lang w:eastAsia="he-IL"/>
          <w14:ligatures w14:val="none"/>
        </w:rPr>
        <w:t>". האשכנזים נהגו לומר "</w:t>
      </w:r>
      <w:r w:rsidRPr="00863CCE">
        <w:rPr>
          <w:rFonts w:ascii="Keren" w:eastAsia="Times New Roman" w:hAnsi="Keren" w:cs="David"/>
          <w:b/>
          <w:bCs/>
          <w:sz w:val="18"/>
          <w:szCs w:val="20"/>
          <w:rtl/>
          <w:lang w:eastAsia="he-IL"/>
          <w14:ligatures w14:val="none"/>
        </w:rPr>
        <w:t>המקום ינחם אתכם בתוך שאר אבלי ציון וירושלים ולא תוסיפו לדאבה עוד</w:t>
      </w:r>
      <w:r w:rsidRPr="00863CCE">
        <w:rPr>
          <w:rFonts w:ascii="Keren" w:eastAsia="Times New Roman" w:hAnsi="Keren" w:cs="David"/>
          <w:sz w:val="18"/>
          <w:szCs w:val="20"/>
          <w:rtl/>
          <w:lang w:eastAsia="he-IL"/>
          <w14:ligatures w14:val="none"/>
        </w:rPr>
        <w:t xml:space="preserve">". </w:t>
      </w:r>
      <w:r w:rsidRPr="00863CCE">
        <w:rPr>
          <w:rFonts w:ascii="Keren" w:eastAsia="Times New Roman" w:hAnsi="Keren" w:cs="David"/>
          <w:szCs w:val="20"/>
          <w:rtl/>
          <w:lang w:eastAsia="he-IL"/>
          <w14:ligatures w14:val="none"/>
        </w:rPr>
        <w:t>המנהג העממי לומר "שלא תדעו עוד צער"</w:t>
      </w:r>
      <w:r w:rsidRPr="00863CCE">
        <w:rPr>
          <w:rFonts w:ascii="Keren" w:eastAsia="Times New Roman" w:hAnsi="Keren" w:cs="David"/>
          <w:szCs w:val="24"/>
          <w:rtl/>
          <w:lang w:eastAsia="he-IL"/>
          <w14:ligatures w14:val="none"/>
        </w:rPr>
        <w:t xml:space="preserve">, </w:t>
      </w:r>
      <w:r w:rsidRPr="00863CCE">
        <w:rPr>
          <w:rFonts w:ascii="Keren" w:eastAsia="Times New Roman" w:hAnsi="Keren" w:cs="David"/>
          <w:sz w:val="18"/>
          <w:szCs w:val="20"/>
          <w:rtl/>
          <w:lang w:eastAsia="he-IL"/>
          <w14:ligatures w14:val="none"/>
        </w:rPr>
        <w:t>אין לו מקור, וראוי לומר את הניחום היהודי המזכיר שם שמים</w:t>
      </w:r>
      <w:r w:rsidRPr="00863CCE">
        <w:rPr>
          <w:rFonts w:ascii="Keren" w:eastAsia="Times New Roman" w:hAnsi="Keren" w:cs="David"/>
          <w:szCs w:val="24"/>
          <w:rtl/>
          <w:lang w:eastAsia="he-IL"/>
          <w14:ligatures w14:val="none"/>
        </w:rPr>
        <w:t>.</w:t>
      </w:r>
      <w:r w:rsidRPr="00863CCE">
        <w:rPr>
          <w:rFonts w:ascii="Keren" w:eastAsia="Times New Roman" w:hAnsi="Keren" w:cs="David"/>
          <w:sz w:val="18"/>
          <w:szCs w:val="24"/>
          <w:rtl/>
          <w:lang w:eastAsia="he-IL"/>
          <w14:ligatures w14:val="none"/>
        </w:rPr>
        <w:t xml:space="preserve"> </w:t>
      </w:r>
      <w:r w:rsidRPr="00863CCE">
        <w:rPr>
          <w:rFonts w:ascii="Keren" w:eastAsia="Times New Roman" w:hAnsi="Keren" w:cs="David"/>
          <w:sz w:val="18"/>
          <w:szCs w:val="20"/>
          <w:rtl/>
          <w:lang w:eastAsia="he-IL"/>
          <w14:ligatures w14:val="none"/>
        </w:rPr>
        <w:t>כיון שיש מנחמים שאינם יודעים לומר את הנוסח ועלולה להיגרם מבוכה, יש בתי אבלים בהם כותבים את הנוסח כך שהמנחמים יוכלו לראותו ולאמרו</w:t>
      </w:r>
      <w:r w:rsidRPr="00863CCE">
        <w:rPr>
          <w:rFonts w:ascii="Keren" w:eastAsia="Times New Roman" w:hAnsi="Keren" w:cs="David"/>
          <w:sz w:val="14"/>
          <w:szCs w:val="16"/>
          <w:rtl/>
          <w:lang w:eastAsia="he-IL"/>
          <w14:ligatures w14:val="none"/>
        </w:rPr>
        <w:t>.</w:t>
      </w:r>
    </w:p>
    <w:p w:rsidR="00D5072B" w:rsidRDefault="00DD4718">
      <w:r w:rsidRPr="00863CCE">
        <w:rPr>
          <w:rFonts w:ascii="Arial" w:eastAsia="Times New Roman" w:hAnsi="Arial" w:cs="David"/>
          <w:szCs w:val="20"/>
          <w:rtl/>
          <w:lang w:eastAsia="he-IL"/>
          <w14:ligatures w14:val="none"/>
        </w:rPr>
        <w:t xml:space="preserve">לאחר ברכת בונה ירושלים מוסיפים ברכה מיוחדת לאבלים. מופיעה בעמוד @. ע"ע </w:t>
      </w:r>
      <w:r w:rsidRPr="00863CCE">
        <w:rPr>
          <w:rFonts w:ascii="Arial" w:eastAsia="Times New Roman" w:hAnsi="Arial" w:cs="David"/>
          <w:b/>
          <w:bCs/>
          <w:szCs w:val="20"/>
          <w:rtl/>
          <w:lang w:eastAsia="he-IL"/>
          <w14:ligatures w14:val="none"/>
        </w:rPr>
        <w:t xml:space="preserve">ברכת אבלים.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18"/>
    <w:rsid w:val="000D0A23"/>
    <w:rsid w:val="002C1211"/>
    <w:rsid w:val="005C4B14"/>
    <w:rsid w:val="00AA7185"/>
    <w:rsid w:val="00B22A00"/>
    <w:rsid w:val="00D5072B"/>
    <w:rsid w:val="00DD47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20C376-E205-4ABB-998E-B9775FAC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D4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D4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D47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D47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D47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D47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D47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47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D47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D471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D471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D471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D4718"/>
    <w:rPr>
      <w:rFonts w:eastAsiaTheme="majorEastAsia" w:cstheme="majorBidi"/>
      <w:i/>
      <w:iCs/>
      <w:color w:val="0F4761" w:themeColor="accent1" w:themeShade="BF"/>
    </w:rPr>
  </w:style>
  <w:style w:type="character" w:customStyle="1" w:styleId="50">
    <w:name w:val="כותרת 5 תו"/>
    <w:basedOn w:val="a0"/>
    <w:link w:val="5"/>
    <w:uiPriority w:val="9"/>
    <w:semiHidden/>
    <w:rsid w:val="00DD4718"/>
    <w:rPr>
      <w:rFonts w:eastAsiaTheme="majorEastAsia" w:cstheme="majorBidi"/>
      <w:color w:val="0F4761" w:themeColor="accent1" w:themeShade="BF"/>
    </w:rPr>
  </w:style>
  <w:style w:type="character" w:customStyle="1" w:styleId="60">
    <w:name w:val="כותרת 6 תו"/>
    <w:basedOn w:val="a0"/>
    <w:link w:val="6"/>
    <w:uiPriority w:val="9"/>
    <w:semiHidden/>
    <w:rsid w:val="00DD4718"/>
    <w:rPr>
      <w:rFonts w:eastAsiaTheme="majorEastAsia" w:cstheme="majorBidi"/>
      <w:i/>
      <w:iCs/>
      <w:color w:val="595959" w:themeColor="text1" w:themeTint="A6"/>
    </w:rPr>
  </w:style>
  <w:style w:type="character" w:customStyle="1" w:styleId="70">
    <w:name w:val="כותרת 7 תו"/>
    <w:basedOn w:val="a0"/>
    <w:link w:val="7"/>
    <w:uiPriority w:val="9"/>
    <w:semiHidden/>
    <w:rsid w:val="00DD4718"/>
    <w:rPr>
      <w:rFonts w:eastAsiaTheme="majorEastAsia" w:cstheme="majorBidi"/>
      <w:color w:val="595959" w:themeColor="text1" w:themeTint="A6"/>
    </w:rPr>
  </w:style>
  <w:style w:type="character" w:customStyle="1" w:styleId="80">
    <w:name w:val="כותרת 8 תו"/>
    <w:basedOn w:val="a0"/>
    <w:link w:val="8"/>
    <w:uiPriority w:val="9"/>
    <w:semiHidden/>
    <w:rsid w:val="00DD4718"/>
    <w:rPr>
      <w:rFonts w:eastAsiaTheme="majorEastAsia" w:cstheme="majorBidi"/>
      <w:i/>
      <w:iCs/>
      <w:color w:val="272727" w:themeColor="text1" w:themeTint="D8"/>
    </w:rPr>
  </w:style>
  <w:style w:type="character" w:customStyle="1" w:styleId="90">
    <w:name w:val="כותרת 9 תו"/>
    <w:basedOn w:val="a0"/>
    <w:link w:val="9"/>
    <w:uiPriority w:val="9"/>
    <w:semiHidden/>
    <w:rsid w:val="00DD4718"/>
    <w:rPr>
      <w:rFonts w:eastAsiaTheme="majorEastAsia" w:cstheme="majorBidi"/>
      <w:color w:val="272727" w:themeColor="text1" w:themeTint="D8"/>
    </w:rPr>
  </w:style>
  <w:style w:type="paragraph" w:styleId="a3">
    <w:name w:val="Title"/>
    <w:basedOn w:val="a"/>
    <w:next w:val="a"/>
    <w:link w:val="a4"/>
    <w:uiPriority w:val="10"/>
    <w:qFormat/>
    <w:rsid w:val="00DD4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D47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471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D471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D4718"/>
    <w:pPr>
      <w:spacing w:before="160"/>
      <w:jc w:val="center"/>
    </w:pPr>
    <w:rPr>
      <w:i/>
      <w:iCs/>
      <w:color w:val="404040" w:themeColor="text1" w:themeTint="BF"/>
    </w:rPr>
  </w:style>
  <w:style w:type="character" w:customStyle="1" w:styleId="a8">
    <w:name w:val="ציטוט תו"/>
    <w:basedOn w:val="a0"/>
    <w:link w:val="a7"/>
    <w:uiPriority w:val="29"/>
    <w:rsid w:val="00DD4718"/>
    <w:rPr>
      <w:i/>
      <w:iCs/>
      <w:color w:val="404040" w:themeColor="text1" w:themeTint="BF"/>
    </w:rPr>
  </w:style>
  <w:style w:type="paragraph" w:styleId="a9">
    <w:name w:val="List Paragraph"/>
    <w:basedOn w:val="a"/>
    <w:uiPriority w:val="34"/>
    <w:qFormat/>
    <w:rsid w:val="00DD4718"/>
    <w:pPr>
      <w:ind w:left="720"/>
      <w:contextualSpacing/>
    </w:pPr>
  </w:style>
  <w:style w:type="character" w:styleId="aa">
    <w:name w:val="Intense Emphasis"/>
    <w:basedOn w:val="a0"/>
    <w:uiPriority w:val="21"/>
    <w:qFormat/>
    <w:rsid w:val="00DD4718"/>
    <w:rPr>
      <w:i/>
      <w:iCs/>
      <w:color w:val="0F4761" w:themeColor="accent1" w:themeShade="BF"/>
    </w:rPr>
  </w:style>
  <w:style w:type="paragraph" w:styleId="ab">
    <w:name w:val="Intense Quote"/>
    <w:basedOn w:val="a"/>
    <w:next w:val="a"/>
    <w:link w:val="ac"/>
    <w:uiPriority w:val="30"/>
    <w:qFormat/>
    <w:rsid w:val="00DD4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D4718"/>
    <w:rPr>
      <w:i/>
      <w:iCs/>
      <w:color w:val="0F4761" w:themeColor="accent1" w:themeShade="BF"/>
    </w:rPr>
  </w:style>
  <w:style w:type="character" w:styleId="ad">
    <w:name w:val="Intense Reference"/>
    <w:basedOn w:val="a0"/>
    <w:uiPriority w:val="32"/>
    <w:qFormat/>
    <w:rsid w:val="00DD4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2766</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