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48F9" w:rsidRPr="00863CCE" w:rsidRDefault="00F248F9" w:rsidP="00863CCE">
      <w:pPr>
        <w:spacing w:after="0" w:line="360" w:lineRule="auto"/>
        <w:jc w:val="both"/>
        <w:outlineLvl w:val="6"/>
        <w:rPr>
          <w:rFonts w:ascii="Keren" w:eastAsia="Times New Roman" w:hAnsi="Keren" w:cs="David"/>
          <w:b/>
          <w:bCs/>
          <w:szCs w:val="20"/>
          <w:rtl/>
          <w:lang w:eastAsia="he-IL"/>
          <w14:ligatures w14:val="none"/>
        </w:rPr>
      </w:pPr>
      <w:bookmarkStart w:id="0" w:name="_Toc88530389"/>
      <w:r w:rsidRPr="00863CCE">
        <w:rPr>
          <w:rFonts w:ascii="Keren" w:eastAsia="Times New Roman" w:hAnsi="Keren" w:cs="David"/>
          <w:b/>
          <w:bCs/>
          <w:sz w:val="26"/>
          <w:szCs w:val="24"/>
          <w:rtl/>
          <w:lang w:eastAsia="he-IL"/>
          <w14:ligatures w14:val="none"/>
        </w:rPr>
        <w:t>ניתוחי מתים</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"ניתוחי מתים:ערך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F248F9" w:rsidRPr="00863CCE" w:rsidRDefault="00F248F9" w:rsidP="00863CCE">
      <w:pPr>
        <w:spacing w:after="0" w:line="360" w:lineRule="auto"/>
        <w:ind w:left="26"/>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ככלל, משום כבוד המת, וגם משום איסור הנאה מהמת, יש לאסור ניתוחי מתים. חכמינו השוו אדם מישראל לספר תורה; וכשם שספר תורה שבלה אסור להשחיתו ולקלקלו גם לאחר שנפסל, אלא יש לנהוג בו כבוד ולגנזו; כך גם בגוף שהיה כלי קיבול לנשמה שהיא חלק אלוה ממעל, אסור לבזות ולהשחית את הגוף.</w:t>
      </w:r>
    </w:p>
    <w:p w:rsidR="00F248F9" w:rsidRPr="00863CCE" w:rsidRDefault="00F248F9" w:rsidP="00863CCE">
      <w:pPr>
        <w:spacing w:after="0" w:line="360" w:lineRule="auto"/>
        <w:jc w:val="both"/>
        <w:rPr>
          <w:rFonts w:ascii="Keren" w:eastAsia="Times New Roman" w:hAnsi="Keren" w:cs="David"/>
          <w:sz w:val="20"/>
          <w:szCs w:val="20"/>
          <w:lang w:eastAsia="he-IL"/>
          <w14:ligatures w14:val="none"/>
        </w:rPr>
      </w:pPr>
      <w:r w:rsidRPr="00863CCE">
        <w:rPr>
          <w:rFonts w:ascii="Keren" w:eastAsia="Times New Roman" w:hAnsi="Keren" w:cs="David"/>
          <w:szCs w:val="20"/>
          <w:rtl/>
          <w:lang w:eastAsia="he-IL"/>
          <w14:ligatures w14:val="none"/>
        </w:rPr>
        <w:t>אין היתר לנתח  נפטר גם כדי להתלמד עליו. הטענה שניתוח לצורך לימוד רפואה יוכל בעתיד להציל חיים נידונה באריכות על ידי הפוסקים. ככלל ניתן לומר שטענה זו מקובלת על הפוסקים אך יש גישות שונות באילו מקרים אפשר לישמה. ישנן גישות המקבלות טענה זו רק במקרה שיש שני חולים לפנינו החולים באותה מחלה, ואחד מהם נפטר, והרופאים אומרים שאפשר לנסות ולהציל את החולה השני אם ינתחו את הנפטר וילמדו מכך על המחלה. ישנן דעות מקילות יותר המתחשבות בעובדה שהיום עקב הקשר המיידי והתמידי בין המרכזים הרפואיים השונים, ניתן לומר שההגדרה ההלכתית "חולה לפנינו" קיימת תמיד, כיון שלמידה במקום אחד יכולה לסייע מייד לחולה הנמצא במקום אחר. על פי גישה זו הורה הרב הרצוג שהיה הרב הראשי לישראל:</w:t>
      </w:r>
    </w:p>
    <w:p w:rsidR="00F248F9" w:rsidRPr="00863CCE" w:rsidRDefault="00F248F9" w:rsidP="00863CCE">
      <w:pPr>
        <w:spacing w:after="0" w:line="360" w:lineRule="auto"/>
        <w:ind w:left="386"/>
        <w:jc w:val="both"/>
        <w:rPr>
          <w:rFonts w:ascii="Keren" w:eastAsia="Times New Roman" w:hAnsi="Keren" w:cs="David"/>
          <w:szCs w:val="20"/>
          <w:lang w:eastAsia="he-IL"/>
          <w14:ligatures w14:val="none"/>
        </w:rPr>
      </w:pPr>
      <w:r w:rsidRPr="00863CCE">
        <w:rPr>
          <w:rFonts w:ascii="Keren" w:eastAsia="Times New Roman" w:hAnsi="Keren" w:cs="David"/>
          <w:szCs w:val="20"/>
          <w:rtl/>
          <w:lang w:eastAsia="he-IL"/>
          <w14:ligatures w14:val="none"/>
        </w:rPr>
        <w:t>... ועדה של שלושה רופאים מומחים מורכבים באופן זה: אחד מהם ראש המחלקה בבית החולים הנידון, אחד מהם מיופה כח הרבנות המקומית, ואחד מהם מהמשפחה של הנפטר ידונו; ואם יחליטו שיש סיכויים שהניתוח יפיץ אור על המחלה שממנה מת המת... אזי על פי החלטתם בכתב ובחתימת ידיהם מותר לנתח, ובלבד שלא ינתחו אלא את ההכרחי ביותר, ושיחזירו אחר כך הכל לחברה קדישא לקבורה.</w:t>
      </w:r>
    </w:p>
    <w:p w:rsidR="00F248F9" w:rsidRPr="00863CCE" w:rsidRDefault="00F248F9" w:rsidP="00863CCE">
      <w:pPr>
        <w:spacing w:after="0" w:line="360" w:lineRule="auto"/>
        <w:ind w:left="26"/>
        <w:jc w:val="both"/>
        <w:rPr>
          <w:rFonts w:ascii="Keren" w:eastAsia="Times New Roman" w:hAnsi="Keren" w:cs="David"/>
          <w:sz w:val="24"/>
          <w:szCs w:val="20"/>
          <w:rtl/>
          <w:lang w:eastAsia="he-IL"/>
          <w14:ligatures w14:val="none"/>
        </w:rPr>
      </w:pPr>
      <w:r w:rsidRPr="00863CCE">
        <w:rPr>
          <w:rFonts w:ascii="Keren" w:eastAsia="Times New Roman" w:hAnsi="Keren" w:cs="David"/>
          <w:szCs w:val="20"/>
          <w:rtl/>
          <w:lang w:eastAsia="he-IL"/>
          <w14:ligatures w14:val="none"/>
        </w:rPr>
        <w:t>ב"תחומין" (כרך יב) מובא מכתבו של הרב יחיאל יעקב ויינברג לרב קלמן כהנא שהיה אז סגן שר החינוך ובו התייחסותו לעניין. לדעתו, כיום שהאינפורמציה עוברת מייד ממקום למקום נחשב כל מקום כ"חולה לפנינו", לפי זה יש יותר מקום להקל. הרב כהנא עצמו פרסם סקירה ביבליוגרפית של מאמרים בנושא ניתוחי מתים בהלכה בקובץ "המעיין" (המקורות מופיעים במאמר בתחומין שם בהערה 1).</w:t>
      </w:r>
    </w:p>
    <w:p w:rsidR="00F248F9" w:rsidRPr="00863CCE" w:rsidRDefault="00F248F9" w:rsidP="00863CCE">
      <w:pPr>
        <w:spacing w:after="0" w:line="360" w:lineRule="auto"/>
        <w:ind w:left="26"/>
        <w:jc w:val="both"/>
        <w:rPr>
          <w:rFonts w:ascii="Keren" w:eastAsia="Times New Roman" w:hAnsi="Keren" w:cs="David"/>
          <w:sz w:val="20"/>
          <w:szCs w:val="20"/>
          <w:lang w:eastAsia="he-IL"/>
          <w14:ligatures w14:val="none"/>
        </w:rPr>
      </w:pPr>
      <w:r w:rsidRPr="00863CCE">
        <w:rPr>
          <w:rFonts w:ascii="Keren" w:eastAsia="Times New Roman" w:hAnsi="Keren" w:cs="David"/>
          <w:szCs w:val="20"/>
          <w:rtl/>
          <w:lang w:eastAsia="he-IL"/>
          <w14:ligatures w14:val="none"/>
        </w:rPr>
        <w:t>מבחינה הלכתית אין משמעות לכך שאדם ציוה לתרום את גופו ו</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אברים:תרומתם למדע</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אבריו למדע. האדם אינו ריבון על גופו, אלא הגוף ניתן לו כפיקדון מריבונו של עולם לתקופה מוגבלת. לכן אסור לאדם לחבול בגופו או לאבד עצמו לדעת או לתרום את גופו ואבריו למדע. בוודאי שלקרוביו וליורשיו אין סמכות כזאת.</w:t>
      </w:r>
    </w:p>
    <w:p w:rsidR="00F248F9" w:rsidRPr="00863CCE" w:rsidRDefault="00F248F9" w:rsidP="00863CCE">
      <w:pPr>
        <w:spacing w:after="0" w:line="360" w:lineRule="auto"/>
        <w:ind w:left="39"/>
        <w:jc w:val="both"/>
        <w:rPr>
          <w:rFonts w:ascii="Keren" w:eastAsia="Times New Roman" w:hAnsi="Keren" w:cs="David"/>
          <w:sz w:val="20"/>
          <w:szCs w:val="20"/>
          <w:lang w:eastAsia="he-IL"/>
          <w14:ligatures w14:val="none"/>
        </w:rPr>
      </w:pPr>
      <w:r w:rsidRPr="00863CCE">
        <w:rPr>
          <w:rFonts w:ascii="Keren" w:eastAsia="Times New Roman" w:hAnsi="Keren" w:cs="David"/>
          <w:szCs w:val="20"/>
          <w:rtl/>
          <w:lang w:eastAsia="he-IL"/>
          <w14:ligatures w14:val="none"/>
        </w:rPr>
        <w:t xml:space="preserve">גם על פי חוק אסור לנתח את הנפטר, ללא הסכמת המשפחה או צו מבית משפט. במקרים מיוחדים יש לשאול רב. </w:t>
      </w:r>
    </w:p>
    <w:p w:rsidR="00F248F9" w:rsidRPr="00863CCE" w:rsidRDefault="00F248F9" w:rsidP="00863CCE">
      <w:pPr>
        <w:spacing w:after="0" w:line="360" w:lineRule="auto"/>
        <w:ind w:left="39"/>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סיוע ויעוץ בעניין זה ניתן לקבל אצל הרב נחום הכהן קוק: 03-6741778, 03-5748157, 0522-503630; או אצל הרב מרדכי ויכלדר 03-6743858, 0522-729659. הסיוע ניתן בהתנדבות ללא תשלום.</w:t>
      </w:r>
      <w:r w:rsidRPr="00863CCE">
        <w:rPr>
          <w:rFonts w:ascii="Keren" w:eastAsia="Times New Roman" w:hAnsi="Keren" w:cs="David"/>
          <w:sz w:val="26"/>
          <w:szCs w:val="20"/>
          <w:rtl/>
          <w:lang w:eastAsia="he-IL"/>
          <w14:ligatures w14:val="none"/>
        </w:rPr>
        <w:t xml:space="preserve"> </w:t>
      </w:r>
      <w:r w:rsidRPr="00863CCE">
        <w:rPr>
          <w:rFonts w:ascii="Keren" w:eastAsia="Times New Roman" w:hAnsi="Keren" w:cs="David"/>
          <w:sz w:val="20"/>
          <w:szCs w:val="20"/>
          <w:rtl/>
          <w:lang w:eastAsia="he-IL"/>
          <w14:ligatures w14:val="none"/>
        </w:rPr>
        <w:t>כמו כן בארגון זק"א אצל מיכאל גוטויין, רכז המחלקה המשפטית של זק"א באמצעות עורכי דין מתנדבים 0505-5766128, 0577-292459.</w:t>
      </w:r>
    </w:p>
    <w:p w:rsidR="00D5072B" w:rsidRDefault="00F248F9">
      <w:r w:rsidRPr="00863CCE">
        <w:rPr>
          <w:rFonts w:ascii="Keren" w:eastAsia="Times New Roman" w:hAnsi="Keren" w:cs="David"/>
          <w:szCs w:val="20"/>
          <w:rtl/>
          <w:lang w:eastAsia="he-IL"/>
          <w14:ligatures w14:val="none"/>
        </w:rPr>
        <w:t>(להרחבה - שו"ת נודע ביהודה מהדורה תניינא, יורה דעה תשובה ר"י. חתם סופר יורה דעה סימן של"ו. גשר החיים פרק ה פיסקה ו. מכתבו של הרב הרצוג מיום ד באייר תשי"ד מובא בפסקים וכתבים של הרב הרצוג כרך ה סימן קנה</w:t>
      </w:r>
      <w:r w:rsidRPr="00863CCE">
        <w:rPr>
          <w:rFonts w:ascii="Keren" w:eastAsia="Times New Roman" w:hAnsi="Keren" w:cs="David"/>
          <w:sz w:val="28"/>
          <w:szCs w:val="24"/>
          <w:rtl/>
          <w:lang w:eastAsia="he-IL"/>
          <w14:ligatures w14:val="none"/>
        </w:rPr>
        <w:t xml:space="preserve">. </w:t>
      </w:r>
      <w:r w:rsidRPr="00863CCE">
        <w:rPr>
          <w:rFonts w:ascii="Keren" w:eastAsia="Times New Roman" w:hAnsi="Keren" w:cs="David"/>
          <w:szCs w:val="20"/>
          <w:rtl/>
          <w:lang w:eastAsia="he-IL"/>
          <w14:ligatures w14:val="none"/>
        </w:rPr>
        <w:t>בתחומין כרך יב מאמרו של הרב וינברג).</w:t>
      </w:r>
      <w:r w:rsidRPr="00863CCE">
        <w:rPr>
          <w:rFonts w:ascii="Keren" w:eastAsia="Times New Roman" w:hAnsi="Keren" w:cs="David"/>
          <w:b/>
          <w:bCs/>
          <w:szCs w:val="20"/>
          <w:rtl/>
          <w:lang w:eastAsia="he-IL"/>
          <w14:ligatures w14:val="none"/>
        </w:rPr>
        <w:t xml:space="preserve"> </w:t>
      </w:r>
      <w:r w:rsidRPr="00863CCE">
        <w:rPr>
          <w:rFonts w:ascii="Keren" w:eastAsia="Times New Roman" w:hAnsi="Keren" w:cs="David"/>
          <w:sz w:val="24"/>
          <w:szCs w:val="20"/>
          <w:rtl/>
          <w:lang w:eastAsia="he-IL"/>
          <w14:ligatures w14:val="none"/>
        </w:rPr>
        <w:t xml:space="preserve">ע"ע </w:t>
      </w:r>
      <w:r w:rsidRPr="00863CCE">
        <w:rPr>
          <w:rFonts w:ascii="Keren" w:eastAsia="Times New Roman" w:hAnsi="Keren" w:cs="David"/>
          <w:b/>
          <w:bCs/>
          <w:sz w:val="24"/>
          <w:szCs w:val="20"/>
          <w:rtl/>
          <w:lang w:eastAsia="he-IL"/>
          <w14:ligatures w14:val="none"/>
        </w:rPr>
        <w:t>תרומת אברים.</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8F9"/>
    <w:rsid w:val="000D0A23"/>
    <w:rsid w:val="002C1211"/>
    <w:rsid w:val="005C4B14"/>
    <w:rsid w:val="00AA7185"/>
    <w:rsid w:val="00B22A00"/>
    <w:rsid w:val="00D5072B"/>
    <w:rsid w:val="00F248F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9626E9-297D-4EA4-A29C-3FF027AB6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248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248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248F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248F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248F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248F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248F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248F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248F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248F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248F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248F9"/>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248F9"/>
    <w:rPr>
      <w:rFonts w:eastAsiaTheme="majorEastAsia" w:cstheme="majorBidi"/>
      <w:i/>
      <w:iCs/>
      <w:color w:val="0F4761" w:themeColor="accent1" w:themeShade="BF"/>
    </w:rPr>
  </w:style>
  <w:style w:type="character" w:customStyle="1" w:styleId="50">
    <w:name w:val="כותרת 5 תו"/>
    <w:basedOn w:val="a0"/>
    <w:link w:val="5"/>
    <w:uiPriority w:val="9"/>
    <w:semiHidden/>
    <w:rsid w:val="00F248F9"/>
    <w:rPr>
      <w:rFonts w:eastAsiaTheme="majorEastAsia" w:cstheme="majorBidi"/>
      <w:color w:val="0F4761" w:themeColor="accent1" w:themeShade="BF"/>
    </w:rPr>
  </w:style>
  <w:style w:type="character" w:customStyle="1" w:styleId="60">
    <w:name w:val="כותרת 6 תו"/>
    <w:basedOn w:val="a0"/>
    <w:link w:val="6"/>
    <w:uiPriority w:val="9"/>
    <w:semiHidden/>
    <w:rsid w:val="00F248F9"/>
    <w:rPr>
      <w:rFonts w:eastAsiaTheme="majorEastAsia" w:cstheme="majorBidi"/>
      <w:i/>
      <w:iCs/>
      <w:color w:val="595959" w:themeColor="text1" w:themeTint="A6"/>
    </w:rPr>
  </w:style>
  <w:style w:type="character" w:customStyle="1" w:styleId="70">
    <w:name w:val="כותרת 7 תו"/>
    <w:basedOn w:val="a0"/>
    <w:link w:val="7"/>
    <w:uiPriority w:val="9"/>
    <w:semiHidden/>
    <w:rsid w:val="00F248F9"/>
    <w:rPr>
      <w:rFonts w:eastAsiaTheme="majorEastAsia" w:cstheme="majorBidi"/>
      <w:color w:val="595959" w:themeColor="text1" w:themeTint="A6"/>
    </w:rPr>
  </w:style>
  <w:style w:type="character" w:customStyle="1" w:styleId="80">
    <w:name w:val="כותרת 8 תו"/>
    <w:basedOn w:val="a0"/>
    <w:link w:val="8"/>
    <w:uiPriority w:val="9"/>
    <w:semiHidden/>
    <w:rsid w:val="00F248F9"/>
    <w:rPr>
      <w:rFonts w:eastAsiaTheme="majorEastAsia" w:cstheme="majorBidi"/>
      <w:i/>
      <w:iCs/>
      <w:color w:val="272727" w:themeColor="text1" w:themeTint="D8"/>
    </w:rPr>
  </w:style>
  <w:style w:type="character" w:customStyle="1" w:styleId="90">
    <w:name w:val="כותרת 9 תו"/>
    <w:basedOn w:val="a0"/>
    <w:link w:val="9"/>
    <w:uiPriority w:val="9"/>
    <w:semiHidden/>
    <w:rsid w:val="00F248F9"/>
    <w:rPr>
      <w:rFonts w:eastAsiaTheme="majorEastAsia" w:cstheme="majorBidi"/>
      <w:color w:val="272727" w:themeColor="text1" w:themeTint="D8"/>
    </w:rPr>
  </w:style>
  <w:style w:type="paragraph" w:styleId="a3">
    <w:name w:val="Title"/>
    <w:basedOn w:val="a"/>
    <w:next w:val="a"/>
    <w:link w:val="a4"/>
    <w:uiPriority w:val="10"/>
    <w:qFormat/>
    <w:rsid w:val="00F24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48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48F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48F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48F9"/>
    <w:pPr>
      <w:spacing w:before="160"/>
      <w:jc w:val="center"/>
    </w:pPr>
    <w:rPr>
      <w:i/>
      <w:iCs/>
      <w:color w:val="404040" w:themeColor="text1" w:themeTint="BF"/>
    </w:rPr>
  </w:style>
  <w:style w:type="character" w:customStyle="1" w:styleId="a8">
    <w:name w:val="ציטוט תו"/>
    <w:basedOn w:val="a0"/>
    <w:link w:val="a7"/>
    <w:uiPriority w:val="29"/>
    <w:rsid w:val="00F248F9"/>
    <w:rPr>
      <w:i/>
      <w:iCs/>
      <w:color w:val="404040" w:themeColor="text1" w:themeTint="BF"/>
    </w:rPr>
  </w:style>
  <w:style w:type="paragraph" w:styleId="a9">
    <w:name w:val="List Paragraph"/>
    <w:basedOn w:val="a"/>
    <w:uiPriority w:val="34"/>
    <w:qFormat/>
    <w:rsid w:val="00F248F9"/>
    <w:pPr>
      <w:ind w:left="720"/>
      <w:contextualSpacing/>
    </w:pPr>
  </w:style>
  <w:style w:type="character" w:styleId="aa">
    <w:name w:val="Intense Emphasis"/>
    <w:basedOn w:val="a0"/>
    <w:uiPriority w:val="21"/>
    <w:qFormat/>
    <w:rsid w:val="00F248F9"/>
    <w:rPr>
      <w:i/>
      <w:iCs/>
      <w:color w:val="0F4761" w:themeColor="accent1" w:themeShade="BF"/>
    </w:rPr>
  </w:style>
  <w:style w:type="paragraph" w:styleId="ab">
    <w:name w:val="Intense Quote"/>
    <w:basedOn w:val="a"/>
    <w:next w:val="a"/>
    <w:link w:val="ac"/>
    <w:uiPriority w:val="30"/>
    <w:qFormat/>
    <w:rsid w:val="00F24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48F9"/>
    <w:rPr>
      <w:i/>
      <w:iCs/>
      <w:color w:val="0F4761" w:themeColor="accent1" w:themeShade="BF"/>
    </w:rPr>
  </w:style>
  <w:style w:type="character" w:styleId="ad">
    <w:name w:val="Intense Reference"/>
    <w:basedOn w:val="a0"/>
    <w:uiPriority w:val="32"/>
    <w:qFormat/>
    <w:rsid w:val="00F248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431</Words>
  <Characters>2160</Characters>
  <Application>Microsoft Office Word</Application>
  <DocSecurity>0</DocSecurity>
  <Lines>18</Lines>
  <Paragraphs>5</Paragraphs>
  <ScaleCrop>false</ScaleCrop>
  <Company/>
  <LinksUpToDate>false</LinksUpToDate>
  <CharactersWithSpaces>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2025-12-04T23:13:00Z</dcterms:created>
  <dcterms:modified xsi:type="dcterms:W3CDTF">2025-12-04T23:13:00Z</dcterms:modified>
</cp:coreProperties>
</file>