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4992" w:rsidRPr="00863CCE" w:rsidRDefault="009F4992"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83"/>
      <w:r w:rsidRPr="00863CCE">
        <w:rPr>
          <w:rFonts w:ascii="Keren" w:eastAsia="Times New Roman" w:hAnsi="Keren" w:cs="David"/>
          <w:b/>
          <w:bCs/>
          <w:sz w:val="26"/>
          <w:szCs w:val="24"/>
          <w:rtl/>
          <w:lang w:eastAsia="he-IL"/>
          <w14:ligatures w14:val="none"/>
        </w:rPr>
        <w:t>נר נשמה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"נר נשמה:ערך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"אישים:רבי יהודה הנשיא"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9F4992" w:rsidRPr="00863CCE" w:rsidRDefault="009F499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כינוי מקובל</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לנר שמדליקים לכבוד הנפטר. רבי יהודה הנשיא ציוה לפני מותו "נר יהא דלוק במקומו" (כתובות קג, א). נהגו להדליק נר במשך כל השבעה, ויש שנהגו כל השלושים, ויש שנהגו כל שנים עשר חודש. </w:t>
      </w:r>
    </w:p>
    <w:p w:rsidR="009F4992" w:rsidRPr="00863CCE" w:rsidRDefault="009F499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"יום השנה:נר נשמה"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כמו כן נהגו להדליק נר נשמה ביום השנה, נר שידלוק "מעת לעת" – 24 שעות. לכן מכינים מראש נרות נשמה שידלקו לפחות פרק זמן כזה.</w:t>
      </w:r>
    </w:p>
    <w:p w:rsidR="009F4992" w:rsidRPr="00863CCE" w:rsidRDefault="009F4992"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"נר נשמה:בחגים שמזכירים נשמות"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האשכנזים נהגו להדליק נר נשמה </w:t>
      </w:r>
      <w:r w:rsidRPr="00863CCE">
        <w:rPr>
          <w:rFonts w:ascii="Keren" w:eastAsia="Times New Roman" w:hAnsi="Keren" w:cs="David"/>
          <w:szCs w:val="20"/>
          <w:rtl/>
          <w14:ligatures w14:val="none"/>
        </w:rPr>
        <w:t>בארבעה הפרקים בשנה שמזכירים נשמות: ביום הכיפורים, בשמיני עצרת</w:t>
      </w:r>
      <w:r w:rsidRPr="00863CCE">
        <w:rPr>
          <w:rFonts w:ascii="Keren" w:eastAsia="Times New Roman" w:hAnsi="Keren" w:cs="David"/>
          <w:szCs w:val="20"/>
          <w:rt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14:ligatures w14:val="none"/>
        </w:rPr>
        <w:instrText>שמיני עצרת:</w:instrText>
      </w:r>
      <w:r w:rsidRPr="00863CCE">
        <w:rPr>
          <w:rFonts w:ascii="Keren" w:eastAsia="Times New Roman" w:hAnsi="Keren" w:cs="David"/>
          <w:sz w:val="28"/>
          <w:szCs w:val="24"/>
          <w:rtl/>
          <w:lang w:eastAsia="he-IL"/>
          <w14:ligatures w14:val="none"/>
        </w:rPr>
        <w:instrText>נר נשמה"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14:ligatures w14:val="none"/>
        </w:rPr>
        <w:fldChar w:fldCharType="end"/>
      </w:r>
      <w:r w:rsidRPr="00863CCE">
        <w:rPr>
          <w:rFonts w:ascii="Keren" w:eastAsia="Times New Roman" w:hAnsi="Keren" w:cs="David"/>
          <w:szCs w:val="20"/>
          <w:rtl/>
          <w14:ligatures w14:val="none"/>
        </w:rPr>
        <w:t>, בשביעי של פסח ובחג השבועות.</w:t>
      </w:r>
    </w:p>
    <w:p w:rsidR="009F4992" w:rsidRPr="00863CCE" w:rsidRDefault="009F4992"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 xml:space="preserve">יש שנהגו להדליק בבית הכנסת נר זיכרון לנפטר המשמש כנר תמיד. הדלקת הנר מתקשרת למה שנהגו ללמוד תורה לעילוי נשמת הנפטר, ולכן נהגו להאיר ללומדים לעילוי נשמתו בבית הכנסת. לאחר מכן עבר המנהג גם לבית שבו ישבו שבעה, ונהגו ללמוד בו לעילוי נשמת הנפטר. מעבר לכך ישנם טעמים רוחניים פנימיים שיפורטו להלן.  </w:t>
      </w:r>
    </w:p>
    <w:p w:rsidR="009F4992" w:rsidRPr="00863CCE" w:rsidRDefault="009F499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14:ligatures w14:val="none"/>
        </w:rPr>
        <w:t>נהוג בחלק מהקהילות שהעובר לפני התיבה ביום השנה מדליק לפניו נר. יש שנהגו להדליק שני נרות, ויש שנהגו על פי הקבלה להדליק חמישה נרות, כנגד חמש המדרגות שבנפש (נפש, רוח, נשמה, חיה, יחידה).</w:t>
      </w:r>
    </w:p>
    <w:p w:rsidR="009F4992" w:rsidRPr="00863CCE" w:rsidRDefault="009F499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מהדרים להדליק בשמן זית, ואם אין מדליקים בשעווה, ואם אין מדליקים בנפט, ואם אין מדליקים נר חשמלי.</w:t>
      </w:r>
    </w:p>
    <w:p w:rsidR="009F4992" w:rsidRPr="00863CCE" w:rsidRDefault="009F4992"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הנר מסמל ביהדות את הנשמה – "</w:t>
      </w:r>
      <w:r w:rsidRPr="00863CCE">
        <w:rPr>
          <w:rFonts w:ascii="Keren" w:eastAsia="Times New Roman" w:hAnsi="Keren" w:cs="David"/>
          <w:sz w:val="20"/>
          <w:szCs w:val="20"/>
          <w:rtl/>
          <w:lang w:eastAsia="he-IL"/>
          <w14:ligatures w14:val="none"/>
        </w:rPr>
        <w:t>נֵר ה' נִשְׁמַת אָדָם</w:t>
      </w:r>
      <w:r w:rsidRPr="00863CCE">
        <w:rPr>
          <w:rFonts w:ascii="Keren" w:eastAsia="Times New Roman" w:hAnsi="Keren" w:cs="David"/>
          <w:szCs w:val="20"/>
          <w:rtl/>
          <w:lang w:eastAsia="he-IL"/>
          <w14:ligatures w14:val="none"/>
        </w:rPr>
        <w:t>" (משלי כ, כז)</w:t>
      </w:r>
      <w:r w:rsidRPr="00863CCE">
        <w:rPr>
          <w:rFonts w:ascii="Keren" w:eastAsia="Times New Roman" w:hAnsi="Keren" w:cs="Arial"/>
          <w:szCs w:val="20"/>
          <w:rtl/>
          <w:lang w:eastAsia="he-IL"/>
          <w14:ligatures w14:val="none"/>
        </w:rPr>
        <w:t>.</w:t>
      </w:r>
      <w:r w:rsidRPr="00863CCE">
        <w:rPr>
          <w:rFonts w:ascii="Keren" w:eastAsia="Times New Roman" w:hAnsi="Keren" w:cs="David"/>
          <w:szCs w:val="20"/>
          <w:rtl/>
          <w:lang w:eastAsia="he-IL"/>
          <w14:ligatures w14:val="none"/>
        </w:rPr>
        <w:t xml:space="preserve"> חכמים השתמשו בדימוי זה כדי לכבד את נשמת הנפטר. המושג "אור" מסמל במקרא דימויים שונים:</w:t>
      </w:r>
    </w:p>
    <w:p w:rsidR="009F4992" w:rsidRPr="00863CCE" w:rsidRDefault="009F4992" w:rsidP="009F4992">
      <w:pPr>
        <w:numPr>
          <w:ilvl w:val="2"/>
          <w:numId w:val="1"/>
        </w:numPr>
        <w:spacing w:after="0" w:line="360" w:lineRule="auto"/>
        <w:ind w:left="2364" w:hanging="357"/>
        <w:jc w:val="both"/>
        <w:rPr>
          <w:rFonts w:ascii="Keren" w:eastAsia="Times New Roman" w:hAnsi="Keren" w:cs="David"/>
          <w:sz w:val="28"/>
          <w:szCs w:val="24"/>
          <w:lang w:eastAsia="he-IL"/>
          <w14:ligatures w14:val="none"/>
        </w:rPr>
      </w:pPr>
      <w:r w:rsidRPr="00863CCE">
        <w:rPr>
          <w:rFonts w:ascii="Keren" w:eastAsia="Times New Roman" w:hAnsi="Keren" w:cs="David"/>
          <w:szCs w:val="20"/>
          <w:rtl/>
          <w:lang w:eastAsia="he-IL"/>
          <w14:ligatures w14:val="none"/>
        </w:rPr>
        <w:t xml:space="preserve">הקב"ה כמקור האור – "ה' </w:t>
      </w:r>
      <w:r w:rsidRPr="00863CCE">
        <w:rPr>
          <w:rFonts w:ascii="Keren" w:eastAsia="Times New Roman" w:hAnsi="Keren" w:cs="David"/>
          <w:sz w:val="20"/>
          <w:szCs w:val="20"/>
          <w:rtl/>
          <w:lang w:eastAsia="he-IL"/>
          <w14:ligatures w14:val="none"/>
        </w:rPr>
        <w:t xml:space="preserve">אוֹרִי וְיִשְׁעִי" (תהלים כז, א). </w:t>
      </w:r>
    </w:p>
    <w:p w:rsidR="009F4992" w:rsidRPr="00863CCE" w:rsidRDefault="009F4992" w:rsidP="009F4992">
      <w:pPr>
        <w:numPr>
          <w:ilvl w:val="2"/>
          <w:numId w:val="1"/>
        </w:numPr>
        <w:spacing w:after="0" w:line="360" w:lineRule="auto"/>
        <w:ind w:left="2364" w:hanging="357"/>
        <w:jc w:val="both"/>
        <w:rPr>
          <w:rFonts w:ascii="Keren" w:eastAsia="Times New Roman" w:hAnsi="Keren" w:cs="David"/>
          <w:sz w:val="28"/>
          <w:szCs w:val="24"/>
          <w:lang w:eastAsia="he-IL"/>
          <w14:ligatures w14:val="none"/>
        </w:rPr>
      </w:pPr>
      <w:r w:rsidRPr="00863CCE">
        <w:rPr>
          <w:rFonts w:ascii="Keren" w:eastAsia="Times New Roman" w:hAnsi="Keren" w:cs="David"/>
          <w:szCs w:val="20"/>
          <w:rtl/>
          <w:lang w:eastAsia="he-IL"/>
          <w14:ligatures w14:val="none"/>
        </w:rPr>
        <w:t>נוכחות השכינה – "</w:t>
      </w:r>
      <w:r w:rsidRPr="00863CCE">
        <w:rPr>
          <w:rFonts w:ascii="Keren" w:eastAsia="Times New Roman" w:hAnsi="Keren" w:cs="David"/>
          <w:sz w:val="20"/>
          <w:szCs w:val="20"/>
          <w:rtl/>
          <w:lang w:eastAsia="he-IL"/>
          <w14:ligatures w14:val="none"/>
        </w:rPr>
        <w:t>יָאֵר ה' פָּנָיו אֵלֶיךָ וִיחֻנֶּךָּ</w:t>
      </w:r>
      <w:r w:rsidRPr="00863CCE">
        <w:rPr>
          <w:rFonts w:ascii="Keren" w:eastAsia="Times New Roman" w:hAnsi="Keren" w:cs="David"/>
          <w:szCs w:val="20"/>
          <w:rtl/>
          <w:lang w:eastAsia="he-IL"/>
          <w14:ligatures w14:val="none"/>
        </w:rPr>
        <w:t>" (במדבר ו, כה)</w:t>
      </w:r>
    </w:p>
    <w:p w:rsidR="009F4992" w:rsidRPr="00863CCE" w:rsidRDefault="009F4992" w:rsidP="009F4992">
      <w:pPr>
        <w:numPr>
          <w:ilvl w:val="2"/>
          <w:numId w:val="1"/>
        </w:numPr>
        <w:spacing w:after="0" w:line="360" w:lineRule="auto"/>
        <w:ind w:left="2364" w:hanging="357"/>
        <w:jc w:val="both"/>
        <w:rPr>
          <w:rFonts w:ascii="Keren" w:eastAsia="Times New Roman" w:hAnsi="Keren" w:cs="David"/>
          <w:sz w:val="28"/>
          <w:szCs w:val="24"/>
          <w:lang w:eastAsia="he-IL"/>
          <w14:ligatures w14:val="none"/>
        </w:rPr>
      </w:pPr>
      <w:r w:rsidRPr="00863CCE">
        <w:rPr>
          <w:rFonts w:ascii="Keren" w:eastAsia="Times New Roman" w:hAnsi="Keren" w:cs="David"/>
          <w:szCs w:val="20"/>
          <w:rtl/>
          <w:lang w:eastAsia="he-IL"/>
          <w14:ligatures w14:val="none"/>
        </w:rPr>
        <w:t>האור כמקבילה לחיים – "</w:t>
      </w:r>
      <w:r w:rsidRPr="00863CCE">
        <w:rPr>
          <w:rFonts w:ascii="Keren" w:eastAsia="Times New Roman" w:hAnsi="Keren" w:cs="David"/>
          <w:sz w:val="20"/>
          <w:szCs w:val="20"/>
          <w:rtl/>
          <w:lang w:eastAsia="he-IL"/>
          <w14:ligatures w14:val="none"/>
        </w:rPr>
        <w:t>כְּעֹלְלִים לֹא רָאוּ אוֹר</w:t>
      </w:r>
      <w:r w:rsidRPr="00863CCE">
        <w:rPr>
          <w:rFonts w:ascii="Keren" w:eastAsia="Times New Roman" w:hAnsi="Keren" w:cs="David"/>
          <w:szCs w:val="20"/>
          <w:rtl/>
          <w:lang w:eastAsia="he-IL"/>
          <w14:ligatures w14:val="none"/>
        </w:rPr>
        <w:t>"  (איוב ג, טז)</w:t>
      </w:r>
    </w:p>
    <w:p w:rsidR="009F4992" w:rsidRPr="00863CCE" w:rsidRDefault="009F4992" w:rsidP="009F4992">
      <w:pPr>
        <w:numPr>
          <w:ilvl w:val="2"/>
          <w:numId w:val="1"/>
        </w:numPr>
        <w:spacing w:after="0" w:line="360" w:lineRule="auto"/>
        <w:ind w:left="2364" w:hanging="357"/>
        <w:jc w:val="both"/>
        <w:rPr>
          <w:rFonts w:ascii="Keren" w:eastAsia="Times New Roman" w:hAnsi="Keren" w:cs="David"/>
          <w:sz w:val="28"/>
          <w:szCs w:val="24"/>
          <w:lang w:eastAsia="he-IL"/>
          <w14:ligatures w14:val="none"/>
        </w:rPr>
      </w:pPr>
      <w:r w:rsidRPr="00863CCE">
        <w:rPr>
          <w:rFonts w:ascii="Keren" w:eastAsia="Times New Roman" w:hAnsi="Keren" w:cs="David"/>
          <w:szCs w:val="20"/>
          <w:rtl/>
          <w:lang w:eastAsia="he-IL"/>
          <w14:ligatures w14:val="none"/>
        </w:rPr>
        <w:t>התורה – "</w:t>
      </w:r>
      <w:r w:rsidRPr="00863CCE">
        <w:rPr>
          <w:rFonts w:ascii="Keren" w:eastAsia="Times New Roman" w:hAnsi="Keren" w:cs="David"/>
          <w:sz w:val="20"/>
          <w:szCs w:val="20"/>
          <w:rtl/>
          <w:lang w:eastAsia="he-IL"/>
          <w14:ligatures w14:val="none"/>
        </w:rPr>
        <w:t>כִּי נֵר מִצְוָה וְתוֹרָה אוֹר</w:t>
      </w:r>
      <w:r w:rsidRPr="00863CCE">
        <w:rPr>
          <w:rFonts w:ascii="Keren" w:eastAsia="Times New Roman" w:hAnsi="Keren" w:cs="David"/>
          <w:szCs w:val="20"/>
          <w:rtl/>
          <w:lang w:eastAsia="he-IL"/>
          <w14:ligatures w14:val="none"/>
        </w:rPr>
        <w:t>". (משלי ו, יג)</w:t>
      </w:r>
    </w:p>
    <w:p w:rsidR="009F4992" w:rsidRPr="00863CCE" w:rsidRDefault="009F4992" w:rsidP="00863CCE">
      <w:pPr>
        <w:spacing w:after="0" w:line="360" w:lineRule="auto"/>
        <w:ind w:left="26"/>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 xml:space="preserve">כל הדימויים הללו בניגוד למות ולחושך. מתוך ההסתכלות על נצחיות הנשמה, חכמים כינו את הנשמה בשם נר – "נשמה שנתתי בכם קרויה נר" (מסכת שבת לב, א). </w:t>
      </w:r>
    </w:p>
    <w:p w:rsidR="009F4992" w:rsidRPr="00863CCE" w:rsidRDefault="009F4992"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הנר מורכב מחומר הבעירה הפיזי ומהלהבה עצמה שהיא עיקר ותכלית הנר, אבל אין לה משקל ונפח. גם באדם יש יסוד פיזי שהוא גוף האדם הגשמי, שתכליתו ועיקרו היא הנשמה הרוחנית שאי אפשר להגדירה במונחים פיזיקליים, והיא עיקר משמעות האדם.</w:t>
      </w:r>
    </w:p>
    <w:p w:rsidR="009F4992" w:rsidRPr="00863CCE" w:rsidRDefault="009F4992"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אור הנר נמשך כלפי מעלה, למרות שחומר הבעירה מגיע מתחתיו. אפשר לדמות זאת לנשמה המחוברת לגוף החומרי אך יש בה כמיהה לעולמות העליונים. כשהאדם נפטר אל בית עולמו, הרוח חוזרת אל האלוהים אשר נתנה, לעולמות העליונים. הנר האנושי חוזר אל מקור האור.</w:t>
      </w:r>
    </w:p>
    <w:p w:rsidR="009F4992" w:rsidRPr="00863CCE" w:rsidRDefault="009F4992"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על פי הקבלה נתנו משמעות נוספת לנר:</w:t>
      </w:r>
    </w:p>
    <w:p w:rsidR="009F4992" w:rsidRPr="00863CCE" w:rsidRDefault="009F4992"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מנהגם של ישראל להדליק נרות בפני הגוסס. וטעם לזה נודע מדברי חכמים שסגולת הנר להבריח המזיקים ואפילו בלילה עת שליטתם. ולכן בעור החמץ והמחמצת (שהם מסמלים את המזיקים – רוחות הטומאה), הוא בכח אור נר כי יהל עליהם. כי נר, אור רשעים ידעך. כל שכן שתועיל ביום לשבר מתלעות עוול ולהניס אותם החוצה. כי שלהבת הנר רומז ליחוד עליון , לכן אמר הכתוב </w:t>
      </w:r>
      <w:r w:rsidRPr="00863CCE">
        <w:rPr>
          <w:rFonts w:ascii="Keren" w:eastAsia="Times New Roman" w:hAnsi="Keren" w:cs="David"/>
          <w:sz w:val="20"/>
          <w:szCs w:val="20"/>
          <w:rtl/>
          <w:lang w:eastAsia="he-IL"/>
          <w14:ligatures w14:val="none"/>
        </w:rPr>
        <w:t>נֵר ה' נִשְׁמַת אָדָם</w:t>
      </w:r>
      <w:r w:rsidRPr="00863CCE">
        <w:rPr>
          <w:rFonts w:ascii="Keren" w:eastAsia="Times New Roman" w:hAnsi="Keren" w:cs="David"/>
          <w:szCs w:val="20"/>
          <w:rtl/>
          <w:lang w:eastAsia="he-IL"/>
          <w14:ligatures w14:val="none"/>
        </w:rPr>
        <w:t xml:space="preserve"> (מעבר יַבֹּק מאמר שפת אמת פרק טו, עיין שם באריכות).</w:t>
      </w:r>
    </w:p>
    <w:p w:rsidR="009F4992" w:rsidRPr="00863CCE" w:rsidRDefault="009F4992"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נר שבת</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שבת:</w:instrText>
      </w:r>
      <w:r w:rsidRPr="00863CCE">
        <w:rPr>
          <w:rFonts w:ascii="Keren" w:eastAsia="Times New Roman" w:hAnsi="Keren" w:cs="David"/>
          <w:sz w:val="28"/>
          <w:szCs w:val="24"/>
          <w:rtl/>
          <w:lang w:eastAsia="he-IL"/>
          <w14:ligatures w14:val="none"/>
        </w:rPr>
        <w:instrText>כמה נרות להדליק אם נפטר בן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נר שבת:</w:instrText>
      </w:r>
      <w:r w:rsidRPr="00863CCE">
        <w:rPr>
          <w:rFonts w:ascii="Keren" w:eastAsia="Times New Roman" w:hAnsi="Keren" w:cs="David"/>
          <w:sz w:val="28"/>
          <w:szCs w:val="24"/>
          <w:rtl/>
          <w:lang w:eastAsia="he-IL"/>
          <w14:ligatures w14:val="none"/>
        </w:rPr>
        <w:instrText>אם נפטר בן, כמה נרות להדליק</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lang w:eastAsia="he-IL"/>
          <w14:ligatures w14:val="none"/>
        </w:rPr>
        <w:fldChar w:fldCharType="end"/>
      </w:r>
      <w:r w:rsidRPr="00863CCE">
        <w:rPr>
          <w:rFonts w:ascii="Keren" w:eastAsia="Times New Roman" w:hAnsi="Keren" w:cs="David"/>
          <w:szCs w:val="20"/>
          <w:rtl/>
          <w:lang w:eastAsia="he-IL"/>
          <w14:ligatures w14:val="none"/>
        </w:rPr>
        <w:t xml:space="preserve"> – אשה הרגילה להדליק נרות שבת כמניין אנשי הבית ונפטר אחד מבני הבית, תמשיך להדליק את אותו מספר נרות שהדליקה קודם הפטירה (צרור החיים פיסקה רצב).</w:t>
      </w:r>
    </w:p>
    <w:p w:rsidR="009F4992" w:rsidRPr="00863CCE" w:rsidRDefault="009F4992"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מת ברגל, אף על פי שמתחילים לשבת שבעה רק לאחר הרגל, מדליקים נר נשמה מיד.</w:t>
      </w:r>
    </w:p>
    <w:p w:rsidR="009F4992" w:rsidRPr="00863CCE" w:rsidRDefault="009F4992" w:rsidP="00863CCE">
      <w:pPr>
        <w:spacing w:after="0" w:line="360" w:lineRule="auto"/>
        <w:ind w:left="26"/>
        <w:jc w:val="both"/>
        <w:rPr>
          <w:rFonts w:ascii="Keren" w:eastAsia="Times New Roman" w:hAnsi="Keren" w:cs="David"/>
          <w:szCs w:val="20"/>
          <w:rtl/>
          <w14:ligatures w14:val="none"/>
        </w:rPr>
      </w:pPr>
      <w:r w:rsidRPr="00863CCE">
        <w:rPr>
          <w:rFonts w:ascii="Keren" w:eastAsia="Times New Roman" w:hAnsi="Keren" w:cs="David"/>
          <w:szCs w:val="20"/>
          <w:rtl/>
          <w14:ligatures w14:val="none"/>
        </w:rPr>
        <w:t>ביום טוב עצמו אין להדליק נר נשמה אלא אם כן משתמש בו</w:t>
      </w:r>
      <w:r w:rsidRPr="00863CCE">
        <w:rPr>
          <w:rFonts w:ascii="Keren" w:eastAsia="Times New Roman" w:hAnsi="Keren" w:cs="David"/>
          <w:sz w:val="26"/>
          <w:szCs w:val="24"/>
          <w:rtl/>
          <w14:ligatures w14:val="none"/>
        </w:rPr>
        <w:t xml:space="preserve">. </w:t>
      </w:r>
      <w:r w:rsidRPr="00863CCE">
        <w:rPr>
          <w:rFonts w:ascii="Keren" w:eastAsia="Times New Roman" w:hAnsi="Keren" w:cs="David"/>
          <w:szCs w:val="20"/>
          <w:rtl/>
          <w14:ligatures w14:val="none"/>
        </w:rPr>
        <w:t>ההתר להדליק אש ביום טוב הוא לצורך בישול או הנאה אחרת שיש לאדם. נר נשמה אינו לצורך הנאה לאדם, לכן ביום טוב אי אפשר להדליק נר נשמה אלא אם כן יהנה ממנו גם באופן אחר. לכן יש להדליק במקום שאוכלים או במקום שיוסיף אורה. בשעת הדחק אפשר להתיר כיון שהוא כעין נר של מצוה שהוא לכבוד אבותיו (ביאור הלכה לסימן תקיד, דיבור המתחיל "נר של בטלה").</w:t>
      </w:r>
    </w:p>
    <w:p w:rsidR="00D5072B" w:rsidRDefault="009F4992">
      <w:r w:rsidRPr="00863CCE">
        <w:rPr>
          <w:rFonts w:ascii="Keren" w:eastAsia="Times New Roman" w:hAnsi="Keren" w:cs="David"/>
          <w:szCs w:val="20"/>
          <w:rtl/>
          <w14:ligatures w14:val="none"/>
        </w:rPr>
        <w:t xml:space="preserve">ע"ע </w:t>
      </w:r>
      <w:r w:rsidRPr="00863CCE">
        <w:rPr>
          <w:rFonts w:ascii="Keren" w:eastAsia="Times New Roman" w:hAnsi="Keren" w:cs="David"/>
          <w:b/>
          <w:bCs/>
          <w:szCs w:val="20"/>
          <w:rtl/>
          <w14:ligatures w14:val="none"/>
        </w:rPr>
        <w:t>דרכי האמורי. עילוי נשמה.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eren">
    <w:altName w:val="Times New Roman"/>
    <w:charset w:val="B1"/>
    <w:family w:val="auto"/>
    <w:pitch w:val="variable"/>
    <w:sig w:usb0="00001801" w:usb1="0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num w:numId="1" w16cid:durableId="1200441">
    <w:abstractNumId w:val="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92"/>
    <w:rsid w:val="000D0A23"/>
    <w:rsid w:val="002C1211"/>
    <w:rsid w:val="005C4B14"/>
    <w:rsid w:val="009F4992"/>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A90247-7328-4D9B-8C54-D6295F03B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F4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F4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F499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F499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F49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F49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F49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F49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F49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F499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F499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F499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F4992"/>
    <w:rPr>
      <w:rFonts w:eastAsiaTheme="majorEastAsia" w:cstheme="majorBidi"/>
      <w:i/>
      <w:iCs/>
      <w:color w:val="0F4761" w:themeColor="accent1" w:themeShade="BF"/>
    </w:rPr>
  </w:style>
  <w:style w:type="character" w:customStyle="1" w:styleId="50">
    <w:name w:val="כותרת 5 תו"/>
    <w:basedOn w:val="a0"/>
    <w:link w:val="5"/>
    <w:uiPriority w:val="9"/>
    <w:semiHidden/>
    <w:rsid w:val="009F4992"/>
    <w:rPr>
      <w:rFonts w:eastAsiaTheme="majorEastAsia" w:cstheme="majorBidi"/>
      <w:color w:val="0F4761" w:themeColor="accent1" w:themeShade="BF"/>
    </w:rPr>
  </w:style>
  <w:style w:type="character" w:customStyle="1" w:styleId="60">
    <w:name w:val="כותרת 6 תו"/>
    <w:basedOn w:val="a0"/>
    <w:link w:val="6"/>
    <w:uiPriority w:val="9"/>
    <w:semiHidden/>
    <w:rsid w:val="009F4992"/>
    <w:rPr>
      <w:rFonts w:eastAsiaTheme="majorEastAsia" w:cstheme="majorBidi"/>
      <w:i/>
      <w:iCs/>
      <w:color w:val="595959" w:themeColor="text1" w:themeTint="A6"/>
    </w:rPr>
  </w:style>
  <w:style w:type="character" w:customStyle="1" w:styleId="70">
    <w:name w:val="כותרת 7 תו"/>
    <w:basedOn w:val="a0"/>
    <w:link w:val="7"/>
    <w:uiPriority w:val="9"/>
    <w:semiHidden/>
    <w:rsid w:val="009F4992"/>
    <w:rPr>
      <w:rFonts w:eastAsiaTheme="majorEastAsia" w:cstheme="majorBidi"/>
      <w:color w:val="595959" w:themeColor="text1" w:themeTint="A6"/>
    </w:rPr>
  </w:style>
  <w:style w:type="character" w:customStyle="1" w:styleId="80">
    <w:name w:val="כותרת 8 תו"/>
    <w:basedOn w:val="a0"/>
    <w:link w:val="8"/>
    <w:uiPriority w:val="9"/>
    <w:semiHidden/>
    <w:rsid w:val="009F4992"/>
    <w:rPr>
      <w:rFonts w:eastAsiaTheme="majorEastAsia" w:cstheme="majorBidi"/>
      <w:i/>
      <w:iCs/>
      <w:color w:val="272727" w:themeColor="text1" w:themeTint="D8"/>
    </w:rPr>
  </w:style>
  <w:style w:type="character" w:customStyle="1" w:styleId="90">
    <w:name w:val="כותרת 9 תו"/>
    <w:basedOn w:val="a0"/>
    <w:link w:val="9"/>
    <w:uiPriority w:val="9"/>
    <w:semiHidden/>
    <w:rsid w:val="009F4992"/>
    <w:rPr>
      <w:rFonts w:eastAsiaTheme="majorEastAsia" w:cstheme="majorBidi"/>
      <w:color w:val="272727" w:themeColor="text1" w:themeTint="D8"/>
    </w:rPr>
  </w:style>
  <w:style w:type="paragraph" w:styleId="a3">
    <w:name w:val="Title"/>
    <w:basedOn w:val="a"/>
    <w:next w:val="a"/>
    <w:link w:val="a4"/>
    <w:uiPriority w:val="10"/>
    <w:qFormat/>
    <w:rsid w:val="009F4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F49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499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F499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F4992"/>
    <w:pPr>
      <w:spacing w:before="160"/>
      <w:jc w:val="center"/>
    </w:pPr>
    <w:rPr>
      <w:i/>
      <w:iCs/>
      <w:color w:val="404040" w:themeColor="text1" w:themeTint="BF"/>
    </w:rPr>
  </w:style>
  <w:style w:type="character" w:customStyle="1" w:styleId="a8">
    <w:name w:val="ציטוט תו"/>
    <w:basedOn w:val="a0"/>
    <w:link w:val="a7"/>
    <w:uiPriority w:val="29"/>
    <w:rsid w:val="009F4992"/>
    <w:rPr>
      <w:i/>
      <w:iCs/>
      <w:color w:val="404040" w:themeColor="text1" w:themeTint="BF"/>
    </w:rPr>
  </w:style>
  <w:style w:type="paragraph" w:styleId="a9">
    <w:name w:val="List Paragraph"/>
    <w:basedOn w:val="a"/>
    <w:uiPriority w:val="34"/>
    <w:qFormat/>
    <w:rsid w:val="009F4992"/>
    <w:pPr>
      <w:ind w:left="720"/>
      <w:contextualSpacing/>
    </w:pPr>
  </w:style>
  <w:style w:type="character" w:styleId="aa">
    <w:name w:val="Intense Emphasis"/>
    <w:basedOn w:val="a0"/>
    <w:uiPriority w:val="21"/>
    <w:qFormat/>
    <w:rsid w:val="009F4992"/>
    <w:rPr>
      <w:i/>
      <w:iCs/>
      <w:color w:val="0F4761" w:themeColor="accent1" w:themeShade="BF"/>
    </w:rPr>
  </w:style>
  <w:style w:type="paragraph" w:styleId="ab">
    <w:name w:val="Intense Quote"/>
    <w:basedOn w:val="a"/>
    <w:next w:val="a"/>
    <w:link w:val="ac"/>
    <w:uiPriority w:val="30"/>
    <w:qFormat/>
    <w:rsid w:val="009F4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F4992"/>
    <w:rPr>
      <w:i/>
      <w:iCs/>
      <w:color w:val="0F4761" w:themeColor="accent1" w:themeShade="BF"/>
    </w:rPr>
  </w:style>
  <w:style w:type="character" w:styleId="ad">
    <w:name w:val="Intense Reference"/>
    <w:basedOn w:val="a0"/>
    <w:uiPriority w:val="32"/>
    <w:qFormat/>
    <w:rsid w:val="009F49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552</Words>
  <Characters>2761</Characters>
  <Application>Microsoft Office Word</Application>
  <DocSecurity>0</DocSecurity>
  <Lines>23</Lines>
  <Paragraphs>6</Paragraphs>
  <ScaleCrop>false</ScaleCrop>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