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1A2" w:rsidRPr="00863CCE" w:rsidRDefault="006E11A2" w:rsidP="00863CCE">
      <w:pPr>
        <w:spacing w:after="0" w:line="360" w:lineRule="auto"/>
        <w:jc w:val="both"/>
        <w:outlineLvl w:val="6"/>
        <w:rPr>
          <w:rFonts w:ascii="Keren" w:eastAsia="Times New Roman" w:hAnsi="Keren" w:cs="David"/>
          <w:b/>
          <w:bCs/>
          <w:szCs w:val="20"/>
          <w:rtl/>
          <w:lang w:eastAsia="he-IL"/>
          <w14:ligatures w14:val="none"/>
        </w:rPr>
      </w:pPr>
      <w:bookmarkStart w:id="0" w:name="_Toc88530386"/>
      <w:r w:rsidRPr="00863CCE">
        <w:rPr>
          <w:rFonts w:ascii="Keren" w:eastAsia="Times New Roman" w:hAnsi="Keren" w:cs="David"/>
          <w:b/>
          <w:bCs/>
          <w:sz w:val="26"/>
          <w:szCs w:val="24"/>
          <w:rtl/>
          <w:lang w:eastAsia="he-IL"/>
          <w14:ligatures w14:val="none"/>
        </w:rPr>
        <w:t>נשים - הליכתן ללוויה ולבית העלמין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"נשים - הליכתן ללוויה ולבית העלמין:ערך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E11A2" w:rsidRPr="00863CCE" w:rsidRDefault="006E11A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(סנהדרין כ, א) מובא "מקום שנהגו נשים לצאת אחר המיטה יוצאות, לפני המיטה יוצאות". ובשלחן ערוך נפסק (יורה דעה סימן שנט, א) "ועכשו נהגו שאין יוצאות אלא לאחר המיטה ואין לשנות". בירושלמי (סנהדרין ב, ד; מובא גם בתוספות בסנהדרין שם) מובא שהטעם לדעה שהיו יוצאות לפני המיטה, מפני שהן גרמו מיתה לעולם. והטעם לדעה שהיו יוצאות אחרי המיטה, מפני כבודן של בנות ישראל. לפי שגנאי לבנות ישראל שיסתכלו בהן אנשים.</w:t>
      </w:r>
    </w:p>
    <w:p w:rsidR="006E11A2" w:rsidRPr="00863CCE" w:rsidRDefault="006E11A2" w:rsidP="00863CCE">
      <w:pPr>
        <w:spacing w:after="0" w:line="360" w:lineRule="auto"/>
        <w:jc w:val="both"/>
        <w:rPr>
          <w:rFonts w:ascii="Keren" w:eastAsia="Times New Roman" w:hAnsi="Keren" w:cs="David"/>
          <w:sz w:val="14"/>
          <w:szCs w:val="16"/>
          <w:rtl/>
          <w:lang w:eastAsia="he-IL"/>
          <w14:ligatures w14:val="none"/>
        </w:rPr>
      </w:pPr>
      <w:r w:rsidRPr="00863CCE">
        <w:rPr>
          <w:rFonts w:ascii="Keren" w:eastAsia="Times New Roman" w:hAnsi="Keren" w:cs="David"/>
          <w:szCs w:val="20"/>
          <w:rtl/>
          <w:lang w:eastAsia="he-IL"/>
          <w14:ligatures w14:val="none"/>
        </w:rPr>
        <w:t xml:space="preserve">אך השלחן ערוך מוסיף: "יש למנוע מלצאת נשים לבית הקברות כל עיקר" (שם, ב). כלומר שאף על פי שמעיקר הדין מותר להן לצאת אחר המיטה, טוב יותר שלא תצאנה בכלל. המקור לעניין הוא בגמרא (ברכות נא, א): "שלֹשה דברים סח לי מלאך המוות…, ואל תעמוד לפני הנשים בשעה שחוזרות מן המת. מפני שאני מרקד ובא לפניהן, וחרבי בידי ויש לי רשות לחבל". מקור נוסף מובא גם בספר הזהר (ויקהל קצו). גם בספר מעבר יַבֹּק (שפתי רננות פרק י) הזהיר על כך בכל תוקף. </w:t>
      </w:r>
      <w:r w:rsidRPr="00863CCE">
        <w:rPr>
          <w:rFonts w:ascii="Keren" w:eastAsia="Times New Roman" w:hAnsi="Keren" w:cs="David"/>
          <w:sz w:val="18"/>
          <w:szCs w:val="20"/>
          <w:rtl/>
          <w:lang w:eastAsia="he-IL"/>
          <w14:ligatures w14:val="none"/>
        </w:rPr>
        <w:t>ואכן יש היום מנהג בארץ ישראל להכריז שהגברים יוצאים ראשונה מבית הלוויות ללוויה, ולאחר הקבורה מכריזים שהגברים יוצאים ראשונה לעשות שורה לניחום האבלים, וכן ראוי לעשות. ואם אי אפשר למחות בידן, אפשר לומר שיש להן על מה שיסמוכו (במראה הבזק חלק ג תשובה עג בשם שו"ת "דברי חכמים").</w:t>
      </w:r>
    </w:p>
    <w:p w:rsidR="006E11A2" w:rsidRPr="00863CCE" w:rsidRDefault="006E11A2" w:rsidP="00863CCE">
      <w:pPr>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יש מי שכתב להקל שאין למנוע מהנשים לילך לבית הקברות כשמלווים את המת, ושגם על פי ספר הזהר הסכנה רק כשחוזרים מהקבורה. אבל בלוויה אם הגברים לפני המטה והנשים אחריה אין סכנה. גם אם נהרג ולא מת ממלאך המות, אין סכנה (בית לחם יהודה על שלחן ערוך יורה דעה סימן שנט). </w:t>
      </w:r>
    </w:p>
    <w:p w:rsidR="006E11A2" w:rsidRPr="00863CCE" w:rsidRDefault="006E11A2" w:rsidP="00863CCE">
      <w:pPr>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הרמ"א (בדרכי משה שם) מביא מנהג שהנשים הולכות בלוויה אחרונות, וחוזרות מן הלוויה ראשונות. </w:t>
      </w:r>
    </w:p>
    <w:p w:rsidR="006E11A2" w:rsidRPr="00863CCE" w:rsidRDefault="006E11A2"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גם בהספד יהיו הגברים לחוד והנשים לחוד, כמו שכתוב בספר זכריה (יב, יב - יד) - "</w:t>
      </w:r>
      <w:r w:rsidRPr="00863CCE">
        <w:rPr>
          <w:rFonts w:ascii="Keren" w:eastAsia="Times New Roman" w:hAnsi="Keren" w:cs="David"/>
          <w:sz w:val="20"/>
          <w:szCs w:val="20"/>
          <w:rtl/>
          <w:lang w:eastAsia="he-IL"/>
          <w14:ligatures w14:val="none"/>
        </w:rPr>
        <w:t>וְסָפְדָה הָאָרֶץ מִשְׁפָּחוֹת מִשְׁפָּחוֹת לְבָד, מִשְׁפַּחַת בֵּית דָּוִיד לְבָד וּנְשֵׁיהֶם לְבָד, מִשְׁפַּחַת בֵּית נָתָן לְבָד וּנְשֵׁיהֶם לְבָד... כֹּל הַמִּשְׁפָּחוֹת הַנִּשְׁאָרוֹת מִשְׁפָּחֹת מִשְׁפָּחֹת לְבָד וּנְשֵׁיהֶם לְבָד</w:t>
      </w:r>
      <w:r w:rsidRPr="00863CCE">
        <w:rPr>
          <w:rFonts w:ascii="Keren" w:eastAsia="Times New Roman" w:hAnsi="Keren" w:cs="David"/>
          <w:szCs w:val="20"/>
          <w:rtl/>
          <w:lang w:eastAsia="he-IL"/>
          <w14:ligatures w14:val="none"/>
        </w:rPr>
        <w:t>" (סוכה נב, א).</w:t>
      </w:r>
    </w:p>
    <w:p w:rsidR="006E11A2" w:rsidRPr="00863CCE" w:rsidRDefault="006E11A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עיקר ההקפדה היא בנשים בזמן נידותן, ועדיף שלא תתקרבנה ממש עד הקברים אלא תעמודנה במרחק ארבע אמות מהקברים. (צרור החיים עמוד 129). </w:t>
      </w:r>
      <w:r w:rsidRPr="00863CCE">
        <w:rPr>
          <w:rFonts w:ascii="Keren" w:eastAsia="Times New Roman" w:hAnsi="Keren" w:cs="David"/>
          <w:sz w:val="20"/>
          <w:szCs w:val="20"/>
          <w:rtl/>
          <w:lang w:eastAsia="he-IL"/>
          <w14:ligatures w14:val="none"/>
        </w:rPr>
        <w:t>בגשר החיים (פרק כט, יג) כתב בשם האר"י שאין לנשים לילך לבית העלמין בטרם טבלו. ובילקוט יוסף (סימן י, כד) כתב שהמניעה דווקא בזמן נידותן, אבל בימי ליבונה מותר אף בטרם טבלה.</w:t>
      </w:r>
      <w:r w:rsidRPr="00863CCE">
        <w:rPr>
          <w:rFonts w:ascii="Keren" w:eastAsia="Times New Roman" w:hAnsi="Keren" w:cs="David"/>
          <w:szCs w:val="20"/>
          <w:rtl/>
          <w:lang w:eastAsia="he-IL"/>
          <w14:ligatures w14:val="none"/>
        </w:rPr>
        <w:t xml:space="preserve"> </w:t>
      </w:r>
    </w:p>
    <w:p w:rsidR="00D5072B" w:rsidRDefault="006E11A2">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מעוברת</w:instrText>
      </w:r>
      <w:r w:rsidRPr="00863CCE">
        <w:rPr>
          <w:rFonts w:ascii="Keren" w:eastAsia="Times New Roman" w:hAnsi="Keren" w:cs="David" w:hint="cs"/>
          <w:sz w:val="20"/>
          <w:szCs w:val="20"/>
          <w:lang w:eastAsia="he-IL"/>
          <w14:ligatures w14:val="none"/>
        </w:rPr>
        <w:instrText>" \t "</w:instrText>
      </w:r>
      <w:r w:rsidRPr="00863CCE">
        <w:rPr>
          <w:rFonts w:ascii="Times New Roman" w:eastAsia="Times New Roman" w:hAnsi="Times New Roman" w:cs="Times New Roman"/>
          <w:i/>
          <w:sz w:val="20"/>
          <w:szCs w:val="20"/>
          <w:rtl/>
          <w:lang w:eastAsia="he-IL"/>
          <w14:ligatures w14:val="none"/>
        </w:rPr>
        <w:instrText>ראה</w:instrText>
      </w:r>
      <w:r w:rsidRPr="00863CCE">
        <w:rPr>
          <w:rFonts w:ascii="Times New Roman" w:eastAsia="Times New Roman" w:hAnsi="Times New Roman" w:cs="Times New Roman"/>
          <w:sz w:val="20"/>
          <w:szCs w:val="20"/>
          <w:rtl/>
          <w:lang w:eastAsia="he-IL"/>
          <w14:ligatures w14:val="none"/>
        </w:rPr>
        <w:instrText xml:space="preserve"> נשים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"נשים:בהריון, כניסתן לבית העלמין"</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לפי מנהג עדות המזרח אין הקפדה על הליכת נשים הרות לבית העלמין יתר משאר נשים. האשכנזים נהגו שנשים הרות לא תלכנה לבית הקברות בזמן הריונן, ואין לנו מקור לכך (שו"ת מנחת יצחק חלק י סימן מב. ובהמשך שם כתב שאולי מתוך שנשים הרות היו משמרות עצמן מכל טומאה בזמן המקדש, כדי לזכות את בניהם להיות טהורים לצורך מילוי מים לפרה אדומה. ומהרה יבנה המקדש, ואפשר שמכאן המקור). אולי החשש הוא מתחושה נפשית לא נעימה לאשה ההרה, העלולה להזיק לה עקב רגישותה היתרה. אבל אשה בתחילת הריונה ואינה מעוניינת שידעו על כך, יכולה להקל ולהיכנס אם יש צורך, ללא חשש (כך הורה לי למעשה הרב יעקב רוז'ה שליט"א). גם בנטעי גבריאל (חלק א, פרק סז, ז) כתב שיש שנהגו שאשה מעוברת אינה הולכת ללוייה, אך מדינא מותר.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A2"/>
    <w:rsid w:val="000D0A23"/>
    <w:rsid w:val="002C1211"/>
    <w:rsid w:val="005C4B14"/>
    <w:rsid w:val="006E11A2"/>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C0362-0CB7-4FD9-B098-7600FD1E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1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1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11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11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11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11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11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11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11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E11A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E11A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E11A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E11A2"/>
    <w:rPr>
      <w:rFonts w:eastAsiaTheme="majorEastAsia" w:cstheme="majorBidi"/>
      <w:i/>
      <w:iCs/>
      <w:color w:val="0F4761" w:themeColor="accent1" w:themeShade="BF"/>
    </w:rPr>
  </w:style>
  <w:style w:type="character" w:customStyle="1" w:styleId="50">
    <w:name w:val="כותרת 5 תו"/>
    <w:basedOn w:val="a0"/>
    <w:link w:val="5"/>
    <w:uiPriority w:val="9"/>
    <w:semiHidden/>
    <w:rsid w:val="006E11A2"/>
    <w:rPr>
      <w:rFonts w:eastAsiaTheme="majorEastAsia" w:cstheme="majorBidi"/>
      <w:color w:val="0F4761" w:themeColor="accent1" w:themeShade="BF"/>
    </w:rPr>
  </w:style>
  <w:style w:type="character" w:customStyle="1" w:styleId="60">
    <w:name w:val="כותרת 6 תו"/>
    <w:basedOn w:val="a0"/>
    <w:link w:val="6"/>
    <w:uiPriority w:val="9"/>
    <w:semiHidden/>
    <w:rsid w:val="006E11A2"/>
    <w:rPr>
      <w:rFonts w:eastAsiaTheme="majorEastAsia" w:cstheme="majorBidi"/>
      <w:i/>
      <w:iCs/>
      <w:color w:val="595959" w:themeColor="text1" w:themeTint="A6"/>
    </w:rPr>
  </w:style>
  <w:style w:type="character" w:customStyle="1" w:styleId="70">
    <w:name w:val="כותרת 7 תו"/>
    <w:basedOn w:val="a0"/>
    <w:link w:val="7"/>
    <w:uiPriority w:val="9"/>
    <w:semiHidden/>
    <w:rsid w:val="006E11A2"/>
    <w:rPr>
      <w:rFonts w:eastAsiaTheme="majorEastAsia" w:cstheme="majorBidi"/>
      <w:color w:val="595959" w:themeColor="text1" w:themeTint="A6"/>
    </w:rPr>
  </w:style>
  <w:style w:type="character" w:customStyle="1" w:styleId="80">
    <w:name w:val="כותרת 8 תו"/>
    <w:basedOn w:val="a0"/>
    <w:link w:val="8"/>
    <w:uiPriority w:val="9"/>
    <w:semiHidden/>
    <w:rsid w:val="006E11A2"/>
    <w:rPr>
      <w:rFonts w:eastAsiaTheme="majorEastAsia" w:cstheme="majorBidi"/>
      <w:i/>
      <w:iCs/>
      <w:color w:val="272727" w:themeColor="text1" w:themeTint="D8"/>
    </w:rPr>
  </w:style>
  <w:style w:type="character" w:customStyle="1" w:styleId="90">
    <w:name w:val="כותרת 9 תו"/>
    <w:basedOn w:val="a0"/>
    <w:link w:val="9"/>
    <w:uiPriority w:val="9"/>
    <w:semiHidden/>
    <w:rsid w:val="006E11A2"/>
    <w:rPr>
      <w:rFonts w:eastAsiaTheme="majorEastAsia" w:cstheme="majorBidi"/>
      <w:color w:val="272727" w:themeColor="text1" w:themeTint="D8"/>
    </w:rPr>
  </w:style>
  <w:style w:type="paragraph" w:styleId="a3">
    <w:name w:val="Title"/>
    <w:basedOn w:val="a"/>
    <w:next w:val="a"/>
    <w:link w:val="a4"/>
    <w:uiPriority w:val="10"/>
    <w:qFormat/>
    <w:rsid w:val="006E1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E11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1A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E11A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E11A2"/>
    <w:pPr>
      <w:spacing w:before="160"/>
      <w:jc w:val="center"/>
    </w:pPr>
    <w:rPr>
      <w:i/>
      <w:iCs/>
      <w:color w:val="404040" w:themeColor="text1" w:themeTint="BF"/>
    </w:rPr>
  </w:style>
  <w:style w:type="character" w:customStyle="1" w:styleId="a8">
    <w:name w:val="ציטוט תו"/>
    <w:basedOn w:val="a0"/>
    <w:link w:val="a7"/>
    <w:uiPriority w:val="29"/>
    <w:rsid w:val="006E11A2"/>
    <w:rPr>
      <w:i/>
      <w:iCs/>
      <w:color w:val="404040" w:themeColor="text1" w:themeTint="BF"/>
    </w:rPr>
  </w:style>
  <w:style w:type="paragraph" w:styleId="a9">
    <w:name w:val="List Paragraph"/>
    <w:basedOn w:val="a"/>
    <w:uiPriority w:val="34"/>
    <w:qFormat/>
    <w:rsid w:val="006E11A2"/>
    <w:pPr>
      <w:ind w:left="720"/>
      <w:contextualSpacing/>
    </w:pPr>
  </w:style>
  <w:style w:type="character" w:styleId="aa">
    <w:name w:val="Intense Emphasis"/>
    <w:basedOn w:val="a0"/>
    <w:uiPriority w:val="21"/>
    <w:qFormat/>
    <w:rsid w:val="006E11A2"/>
    <w:rPr>
      <w:i/>
      <w:iCs/>
      <w:color w:val="0F4761" w:themeColor="accent1" w:themeShade="BF"/>
    </w:rPr>
  </w:style>
  <w:style w:type="paragraph" w:styleId="ab">
    <w:name w:val="Intense Quote"/>
    <w:basedOn w:val="a"/>
    <w:next w:val="a"/>
    <w:link w:val="ac"/>
    <w:uiPriority w:val="30"/>
    <w:qFormat/>
    <w:rsid w:val="006E1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E11A2"/>
    <w:rPr>
      <w:i/>
      <w:iCs/>
      <w:color w:val="0F4761" w:themeColor="accent1" w:themeShade="BF"/>
    </w:rPr>
  </w:style>
  <w:style w:type="character" w:styleId="ad">
    <w:name w:val="Intense Reference"/>
    <w:basedOn w:val="a0"/>
    <w:uiPriority w:val="32"/>
    <w:qFormat/>
    <w:rsid w:val="006E1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482</Words>
  <Characters>2411</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