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08BB" w:rsidRPr="00863CCE" w:rsidRDefault="00CB08BB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noProof/>
          <w:sz w:val="26"/>
          <w:szCs w:val="24"/>
          <w:rtl/>
          <w:lang w:val="he-IL" w:eastAsia="he-IL"/>
          <w14:ligatures w14:val="none"/>
        </w:rPr>
      </w:pPr>
      <w:bookmarkStart w:id="0" w:name="_Toc88530394"/>
      <w:r w:rsidRPr="00863CCE">
        <w:rPr>
          <w:rFonts w:ascii="Keren" w:eastAsia="Times New Roman" w:hAnsi="Keren" w:cs="David"/>
          <w:b/>
          <w:bCs/>
          <w:noProof/>
          <w:sz w:val="26"/>
          <w:szCs w:val="24"/>
          <w:rtl/>
          <w:lang w:val="he-IL" w:eastAsia="he-IL"/>
          <w14:ligatures w14:val="none"/>
        </w:rPr>
        <w:t>עולם הבא</w:t>
      </w:r>
      <w:bookmarkEnd w:id="0"/>
      <w:r w:rsidRPr="00863CCE">
        <w:rPr>
          <w:rFonts w:ascii="Keren" w:eastAsia="Times New Roman" w:hAnsi="Keren" w:cs="David"/>
          <w:b/>
          <w:bCs/>
          <w:noProof/>
          <w:sz w:val="26"/>
          <w:szCs w:val="24"/>
          <w:rtl/>
          <w:lang w:val="he-IL"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</w:instrText>
      </w:r>
      <w:r w:rsidRPr="00863CCE">
        <w:rPr>
          <w:rFonts w:ascii="Keren" w:eastAsia="Times New Roman" w:hAnsi="Keren" w:cs="David"/>
          <w:b/>
          <w:bCs/>
          <w:noProof/>
          <w:sz w:val="26"/>
          <w:szCs w:val="24"/>
          <w:rtl/>
          <w:lang w:val="he-IL" w:eastAsia="he-IL"/>
          <w14:ligatures w14:val="none"/>
        </w:rPr>
        <w:instrText>עולם הבא: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noProof/>
          <w:sz w:val="26"/>
          <w:szCs w:val="24"/>
          <w:rtl/>
          <w:lang w:val="he-IL" w:eastAsia="he-IL"/>
          <w14:ligatures w14:val="none"/>
        </w:rPr>
        <w:fldChar w:fldCharType="end"/>
      </w:r>
    </w:p>
    <w:p w:rsidR="00CB08BB" w:rsidRPr="00863CCE" w:rsidRDefault="00CB08BB" w:rsidP="00863CCE">
      <w:pPr>
        <w:spacing w:after="0" w:line="360" w:lineRule="auto"/>
        <w:jc w:val="both"/>
        <w:rPr>
          <w:rFonts w:ascii="Keren" w:eastAsia="Times New Roman" w:hAnsi="Keren" w:cs="David"/>
          <w:noProof/>
          <w:szCs w:val="20"/>
          <w:rtl/>
          <w:lang w:val="he-IL" w:eastAsia="he-IL"/>
          <w14:ligatures w14:val="none"/>
        </w:rPr>
      </w:pPr>
      <w:r w:rsidRPr="00863CCE">
        <w:rPr>
          <w:rFonts w:ascii="Keren" w:eastAsia="Times New Roman" w:hAnsi="Keren" w:cs="David"/>
          <w:noProof/>
          <w:szCs w:val="20"/>
          <w:rtl/>
          <w:lang w:val="he-IL" w:eastAsia="he-IL"/>
          <w14:ligatures w14:val="none"/>
        </w:rPr>
        <w:t xml:space="preserve">החיים הרוחניים לאחר המיתה. המשנה (סנהדרין פרק יא) אומרת שכל ישראל יש להם חלק לעולם הבא, חוץ מאלו שנמנים בה שאין להם חלק לעולם הבא: האומר אין תחיית המתים מן התורה, ואין תורה מן השמים ואפיקורוס. המשנה מונה שלושה מלכים וארבעה הדיוטות שאין להם חלק לעולם הבא. השקפת הרמב"ם לגבי עולם הבא הובאה בעמוד@ . </w:t>
      </w:r>
    </w:p>
    <w:p w:rsidR="00D5072B" w:rsidRDefault="00CB08BB">
      <w:r w:rsidRPr="00863CCE">
        <w:rPr>
          <w:rFonts w:ascii="Keren" w:eastAsia="Times New Roman" w:hAnsi="Keren" w:cs="David"/>
          <w:noProof/>
          <w:szCs w:val="20"/>
          <w:rtl/>
          <w:lang w:val="he-IL"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noProof/>
          <w:szCs w:val="20"/>
          <w:rtl/>
          <w:lang w:val="he-IL" w:eastAsia="he-IL"/>
          <w14:ligatures w14:val="none"/>
        </w:rPr>
        <w:t xml:space="preserve">תחיית המתים. 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BB"/>
    <w:rsid w:val="000D0A23"/>
    <w:rsid w:val="002C1211"/>
    <w:rsid w:val="005C4B14"/>
    <w:rsid w:val="00AA7185"/>
    <w:rsid w:val="00B22A00"/>
    <w:rsid w:val="00CB08BB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16853-9B6E-4647-ACF1-9707CE13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B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B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B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B0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B08B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B0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B08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B0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B0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B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B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B08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8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8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B08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303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2025-12-04T23:13:00Z</dcterms:created>
  <dcterms:modified xsi:type="dcterms:W3CDTF">2025-12-04T23:13:00Z</dcterms:modified>
</cp:coreProperties>
</file>