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20D" w:rsidRPr="00863CCE" w:rsidRDefault="009A020D" w:rsidP="00863CCE">
      <w:pPr>
        <w:spacing w:after="0" w:line="360" w:lineRule="auto"/>
        <w:jc w:val="both"/>
        <w:outlineLvl w:val="6"/>
        <w:rPr>
          <w:rFonts w:ascii="Keren" w:eastAsia="Times New Roman" w:hAnsi="Keren" w:cs="David"/>
          <w:b/>
          <w:bCs/>
          <w:szCs w:val="20"/>
          <w:rtl/>
          <w:lang w:eastAsia="he-IL"/>
          <w14:ligatures w14:val="none"/>
        </w:rPr>
      </w:pPr>
      <w:bookmarkStart w:id="0" w:name="_Toc88530398"/>
      <w:r w:rsidRPr="00863CCE">
        <w:rPr>
          <w:rFonts w:ascii="Keren" w:eastAsia="Times New Roman" w:hAnsi="Keren" w:cs="David"/>
          <w:b/>
          <w:bCs/>
          <w:sz w:val="26"/>
          <w:szCs w:val="24"/>
          <w:rtl/>
          <w:lang w:eastAsia="he-IL"/>
          <w14:ligatures w14:val="none"/>
        </w:rPr>
        <w:t>עשר כוסות של בית האבל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"עשר כוסות של בית האבל:ערך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A020D" w:rsidRPr="00863CCE" w:rsidRDefault="009A020D"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אמר עולא, ואמרי לה במתניתא תנא: עשרה כוסות תקנו חכמים בבית האבל, שלֹשה קודם אכילה - כדי לפתוח את בני מעיו, שלֹשה בתוך אכילה - כדי לשרות אכילה שבמעיו, וארבעה לאחר אכילה - אחד כנגד הזן, ואחד כנגד ברכת הארץ, ואחד כנגד בונה ירושלים, ואחד כנגד הטוב והמטיב; הוסיפו עליהם ארבעה - אחד כנגד חזני העיר, ואחד כנגד פרנסי העיר, ואחד כנגד בית המקדש, ואחד כנגד רבן גמליאל, התחילו שותין ומשתכרין, החזירו הדבר ליושנו </w:t>
      </w:r>
      <w:r w:rsidRPr="00863CCE">
        <w:rPr>
          <w:rFonts w:ascii="Times New Roman" w:eastAsia="Times New Roman" w:hAnsi="Times New Roman" w:cs="David"/>
          <w:szCs w:val="20"/>
          <w:rtl/>
          <w:lang w:eastAsia="he-IL"/>
          <w14:ligatures w14:val="none"/>
        </w:rPr>
        <w:t xml:space="preserve">(כתובות ח, ב). </w:t>
      </w:r>
    </w:p>
    <w:p w:rsidR="009A020D" w:rsidRPr="00863CCE" w:rsidRDefault="009A020D"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עשר כוסות נזכרו גם בסוף מסכת שמחות:</w:t>
      </w:r>
    </w:p>
    <w:p w:rsidR="009A020D" w:rsidRPr="00863CCE" w:rsidRDefault="009A020D"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עשרה כוסות בבית האבל: שנים קודם המזון וחמשה בתוך המזון, שלֹשה לאחר המזון: אחד לברכת אבלים ואחד לתנחומי אבלים ואחד לגמילות חסדים. חזרו והוסיפו עוד שלֹשה: אחד לראש הכנסת ואחד לחזן הכנסת ואחד לרבן גמליאל, וכשראו בית דין שהיו משתכרין גזרו עליהן והחזירו למקומן.</w:t>
      </w:r>
    </w:p>
    <w:p w:rsidR="009A020D" w:rsidRPr="00863CCE" w:rsidRDefault="009A020D"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רמז לכוס של תנחומים ניתן למצוא כבר במקרא, בירמיהו (טז, ז) מובאת נבואת פורענות קשה, שאפילו לא ינחמו את האבלים: "</w:t>
      </w:r>
      <w:r w:rsidRPr="00863CCE">
        <w:rPr>
          <w:rFonts w:ascii="Keren" w:eastAsia="Times New Roman" w:hAnsi="Keren" w:cs="David"/>
          <w:sz w:val="20"/>
          <w:szCs w:val="20"/>
          <w:rtl/>
          <w:lang w:eastAsia="he-IL"/>
          <w14:ligatures w14:val="none"/>
        </w:rPr>
        <w:t>וְלֹא יִפְרְסוּ לָהֶם עַל אֵבֶל לְנַחֲמוֹ עַל מֵת וְלֹא יַשְׁקוּ אוֹתָם כּוֹס תַּנְחוּמִים עַל אָבִיו וְעַל אִמּוֹ</w:t>
      </w:r>
      <w:r w:rsidRPr="00863CCE">
        <w:rPr>
          <w:rFonts w:ascii="Times New Roman" w:eastAsia="Times New Roman" w:hAnsi="Times New Roman" w:cs="David"/>
          <w:szCs w:val="20"/>
          <w:rtl/>
          <w:lang w:eastAsia="he-IL"/>
          <w14:ligatures w14:val="none"/>
        </w:rPr>
        <w:t>".</w:t>
      </w:r>
    </w:p>
    <w:p w:rsidR="009A020D" w:rsidRPr="00863CCE" w:rsidRDefault="009A020D"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המקרא ככלל וספר משלי בפרט מסתייגים משתיית יין (למשל בסוף פרק כג). המנהג לשתות יין בהקשר של אבלות יכול לסמל את הצורך של האבלים להסיח דעתם מהצער ומהאבל, אפילו באמצעים שבדרך כלל אין להמליץ עליהם: </w:t>
      </w:r>
    </w:p>
    <w:p w:rsidR="009A020D" w:rsidRPr="00863CCE" w:rsidRDefault="009A020D" w:rsidP="00863CCE">
      <w:pPr>
        <w:autoSpaceDE w:val="0"/>
        <w:autoSpaceDN w:val="0"/>
        <w:adjustRightInd w:val="0"/>
        <w:spacing w:after="0" w:line="360" w:lineRule="auto"/>
        <w:ind w:left="432"/>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אמר רבי חנן: לא נברא יין בעולם אלא לנחם אבלים ולשלם שכר לרשעים, שנאמר (משלי לא, ו) "</w:t>
      </w:r>
      <w:r w:rsidRPr="00863CCE">
        <w:rPr>
          <w:rFonts w:ascii="Keren" w:eastAsia="Times New Roman" w:hAnsi="Keren" w:cs="David"/>
          <w:sz w:val="20"/>
          <w:szCs w:val="20"/>
          <w:rtl/>
          <w:lang w:eastAsia="he-IL"/>
          <w14:ligatures w14:val="none"/>
        </w:rPr>
        <w:t>תְּנוּ שֵׁכָר לְאוֹבֵד וְיַיִן לְמָרֵי נָפֶשׁ</w:t>
      </w:r>
      <w:r w:rsidRPr="00863CCE">
        <w:rPr>
          <w:rFonts w:ascii="Times New Roman" w:eastAsia="Times New Roman" w:hAnsi="Times New Roman" w:cs="David"/>
          <w:szCs w:val="20"/>
          <w:rtl/>
          <w:lang w:eastAsia="he-IL"/>
          <w14:ligatures w14:val="none"/>
        </w:rPr>
        <w:t xml:space="preserve">" (סנהדרין ע, א). </w:t>
      </w:r>
    </w:p>
    <w:p w:rsidR="009A020D" w:rsidRPr="00863CCE" w:rsidRDefault="009A020D"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 xml:space="preserve">כיון שהנהיגו לשתות יין בבית האבל, קישרו את היין לברכות כדי שלא להישאר בממד החומרי בלבד של היין על כל משמעויותיו הבעייתיות. לכן שתיית היין באה במסגרת של ברכות - ברכות על המזון, ברכות לאבלים ולמנחמיהם, ברכות על המקדש. מלבד עידון שתיית היין על ידי הברכות, שיתוף המושגים החברתיים והלאומיים מסמל את קישור האבלים לחברה ולעם ומהווה בעצמו מסר של ניחום לאבלים. </w:t>
      </w:r>
    </w:p>
    <w:p w:rsidR="009A020D" w:rsidRPr="00863CCE" w:rsidRDefault="009A020D"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הגמרא מעידה על ביטול המנהג עוד בזמנם, אך בני תימן המשיכו במנהג זה. נהגו למזוג יין או ערק לפני האבלים, ואם נתרוקן – ממלאים אותו שוב; לקיים מה שנאמר "</w:t>
      </w:r>
      <w:r w:rsidRPr="00863CCE">
        <w:rPr>
          <w:rFonts w:ascii="Times New Roman" w:eastAsia="Times New Roman" w:hAnsi="Times New Roman" w:cs="David"/>
          <w:sz w:val="18"/>
          <w:szCs w:val="20"/>
          <w:rtl/>
          <w:lang w:eastAsia="he-IL"/>
          <w14:ligatures w14:val="none"/>
        </w:rPr>
        <w:t>תְּנוּ שֵׁכָר לְאוֹבֵד וְיַיִן לְמָרֵי נָפֶשׁ</w:t>
      </w:r>
      <w:r w:rsidRPr="00863CCE">
        <w:rPr>
          <w:rFonts w:ascii="Times New Roman" w:eastAsia="Times New Roman" w:hAnsi="Times New Roman" w:cs="David"/>
          <w:szCs w:val="20"/>
          <w:rtl/>
          <w:lang w:eastAsia="he-IL"/>
          <w14:ligatures w14:val="none"/>
        </w:rPr>
        <w:t xml:space="preserve">". בכל פעם שאחד המנחמים לוגם יין או ערק אומר "אלקים ינחם אבלים", שאר המנחמים חוזרים אחריו והאבלים עונים "אמן". כשהאבל לוגם הוא אומר "בעל הגמול ישלם לכם גמול טוב", והנמצאים שם עונים "ה' ינחמכם נחמה שלמה" (הליכות תימן, מנהגי קבורה ואבלות עמוד 333).  </w:t>
      </w:r>
    </w:p>
    <w:p w:rsidR="00D5072B" w:rsidRDefault="009A020D">
      <w:r w:rsidRPr="00863CCE">
        <w:rPr>
          <w:rFonts w:ascii="Times New Roman" w:eastAsia="Times New Roman" w:hAnsi="Times New Roman" w:cs="David"/>
          <w:szCs w:val="20"/>
          <w:rtl/>
          <w:lang w:eastAsia="he-IL"/>
          <w14:ligatures w14:val="none"/>
        </w:rPr>
        <w:t xml:space="preserve">ע"ע </w:t>
      </w:r>
      <w:r w:rsidRPr="00863CCE">
        <w:rPr>
          <w:rFonts w:ascii="Times New Roman" w:eastAsia="Times New Roman" w:hAnsi="Times New Roman" w:cs="David"/>
          <w:b/>
          <w:bCs/>
          <w:szCs w:val="20"/>
          <w:rtl/>
          <w:lang w:eastAsia="he-IL"/>
          <w14:ligatures w14:val="none"/>
        </w:rPr>
        <w:t>ברכת אבלים. סעודת הבראה.</w:t>
      </w:r>
      <w:r w:rsidRPr="00863CCE">
        <w:rPr>
          <w:rFonts w:ascii="Times New Roman" w:eastAsia="Times New Roman" w:hAnsi="Times New Roma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0D"/>
    <w:rsid w:val="000D0A23"/>
    <w:rsid w:val="002C1211"/>
    <w:rsid w:val="005C4B14"/>
    <w:rsid w:val="009A020D"/>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CD4F32-0A48-4C0B-A569-33F5158B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0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A0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A02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02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02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02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02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02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02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020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A020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A020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A020D"/>
    <w:rPr>
      <w:rFonts w:eastAsiaTheme="majorEastAsia" w:cstheme="majorBidi"/>
      <w:i/>
      <w:iCs/>
      <w:color w:val="0F4761" w:themeColor="accent1" w:themeShade="BF"/>
    </w:rPr>
  </w:style>
  <w:style w:type="character" w:customStyle="1" w:styleId="50">
    <w:name w:val="כותרת 5 תו"/>
    <w:basedOn w:val="a0"/>
    <w:link w:val="5"/>
    <w:uiPriority w:val="9"/>
    <w:semiHidden/>
    <w:rsid w:val="009A020D"/>
    <w:rPr>
      <w:rFonts w:eastAsiaTheme="majorEastAsia" w:cstheme="majorBidi"/>
      <w:color w:val="0F4761" w:themeColor="accent1" w:themeShade="BF"/>
    </w:rPr>
  </w:style>
  <w:style w:type="character" w:customStyle="1" w:styleId="60">
    <w:name w:val="כותרת 6 תו"/>
    <w:basedOn w:val="a0"/>
    <w:link w:val="6"/>
    <w:uiPriority w:val="9"/>
    <w:semiHidden/>
    <w:rsid w:val="009A020D"/>
    <w:rPr>
      <w:rFonts w:eastAsiaTheme="majorEastAsia" w:cstheme="majorBidi"/>
      <w:i/>
      <w:iCs/>
      <w:color w:val="595959" w:themeColor="text1" w:themeTint="A6"/>
    </w:rPr>
  </w:style>
  <w:style w:type="character" w:customStyle="1" w:styleId="70">
    <w:name w:val="כותרת 7 תו"/>
    <w:basedOn w:val="a0"/>
    <w:link w:val="7"/>
    <w:uiPriority w:val="9"/>
    <w:semiHidden/>
    <w:rsid w:val="009A020D"/>
    <w:rPr>
      <w:rFonts w:eastAsiaTheme="majorEastAsia" w:cstheme="majorBidi"/>
      <w:color w:val="595959" w:themeColor="text1" w:themeTint="A6"/>
    </w:rPr>
  </w:style>
  <w:style w:type="character" w:customStyle="1" w:styleId="80">
    <w:name w:val="כותרת 8 תו"/>
    <w:basedOn w:val="a0"/>
    <w:link w:val="8"/>
    <w:uiPriority w:val="9"/>
    <w:semiHidden/>
    <w:rsid w:val="009A020D"/>
    <w:rPr>
      <w:rFonts w:eastAsiaTheme="majorEastAsia" w:cstheme="majorBidi"/>
      <w:i/>
      <w:iCs/>
      <w:color w:val="272727" w:themeColor="text1" w:themeTint="D8"/>
    </w:rPr>
  </w:style>
  <w:style w:type="character" w:customStyle="1" w:styleId="90">
    <w:name w:val="כותרת 9 תו"/>
    <w:basedOn w:val="a0"/>
    <w:link w:val="9"/>
    <w:uiPriority w:val="9"/>
    <w:semiHidden/>
    <w:rsid w:val="009A020D"/>
    <w:rPr>
      <w:rFonts w:eastAsiaTheme="majorEastAsia" w:cstheme="majorBidi"/>
      <w:color w:val="272727" w:themeColor="text1" w:themeTint="D8"/>
    </w:rPr>
  </w:style>
  <w:style w:type="paragraph" w:styleId="a3">
    <w:name w:val="Title"/>
    <w:basedOn w:val="a"/>
    <w:next w:val="a"/>
    <w:link w:val="a4"/>
    <w:uiPriority w:val="10"/>
    <w:qFormat/>
    <w:rsid w:val="009A0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A02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20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A02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A020D"/>
    <w:pPr>
      <w:spacing w:before="160"/>
      <w:jc w:val="center"/>
    </w:pPr>
    <w:rPr>
      <w:i/>
      <w:iCs/>
      <w:color w:val="404040" w:themeColor="text1" w:themeTint="BF"/>
    </w:rPr>
  </w:style>
  <w:style w:type="character" w:customStyle="1" w:styleId="a8">
    <w:name w:val="ציטוט תו"/>
    <w:basedOn w:val="a0"/>
    <w:link w:val="a7"/>
    <w:uiPriority w:val="29"/>
    <w:rsid w:val="009A020D"/>
    <w:rPr>
      <w:i/>
      <w:iCs/>
      <w:color w:val="404040" w:themeColor="text1" w:themeTint="BF"/>
    </w:rPr>
  </w:style>
  <w:style w:type="paragraph" w:styleId="a9">
    <w:name w:val="List Paragraph"/>
    <w:basedOn w:val="a"/>
    <w:uiPriority w:val="34"/>
    <w:qFormat/>
    <w:rsid w:val="009A020D"/>
    <w:pPr>
      <w:ind w:left="720"/>
      <w:contextualSpacing/>
    </w:pPr>
  </w:style>
  <w:style w:type="character" w:styleId="aa">
    <w:name w:val="Intense Emphasis"/>
    <w:basedOn w:val="a0"/>
    <w:uiPriority w:val="21"/>
    <w:qFormat/>
    <w:rsid w:val="009A020D"/>
    <w:rPr>
      <w:i/>
      <w:iCs/>
      <w:color w:val="0F4761" w:themeColor="accent1" w:themeShade="BF"/>
    </w:rPr>
  </w:style>
  <w:style w:type="paragraph" w:styleId="ab">
    <w:name w:val="Intense Quote"/>
    <w:basedOn w:val="a"/>
    <w:next w:val="a"/>
    <w:link w:val="ac"/>
    <w:uiPriority w:val="30"/>
    <w:qFormat/>
    <w:rsid w:val="009A0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A020D"/>
    <w:rPr>
      <w:i/>
      <w:iCs/>
      <w:color w:val="0F4761" w:themeColor="accent1" w:themeShade="BF"/>
    </w:rPr>
  </w:style>
  <w:style w:type="character" w:styleId="ad">
    <w:name w:val="Intense Reference"/>
    <w:basedOn w:val="a0"/>
    <w:uiPriority w:val="32"/>
    <w:qFormat/>
    <w:rsid w:val="009A0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1815</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