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3660" w:rsidRPr="00863CCE" w:rsidRDefault="00F83660"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99"/>
      <w:r w:rsidRPr="00863CCE">
        <w:rPr>
          <w:rFonts w:ascii="Keren" w:eastAsia="Times New Roman" w:hAnsi="Keren" w:cs="David"/>
          <w:b/>
          <w:bCs/>
          <w:sz w:val="26"/>
          <w:szCs w:val="24"/>
          <w:rtl/>
          <w:lang w:eastAsia="he-IL"/>
          <w14:ligatures w14:val="none"/>
        </w:rPr>
        <w:t>פינוי קבר</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"פינוי קבר:ערך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F83660" w:rsidRPr="00863CCE" w:rsidRDefault="00F83660" w:rsidP="00863CCE">
      <w:pPr>
        <w:spacing w:after="0" w:line="360" w:lineRule="auto"/>
        <w:ind w:left="26"/>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איסור פינוי מת הוא מפני "ניוול המת", שגופו של המת מוזז ממקומו ועלול להתפרק או להראות באופן בלתי מכובד. ומפני "חרדת הדין", שעל ידי התעסקות בגופתו, מטרידים את המת ממנוחתו. </w:t>
      </w:r>
    </w:p>
    <w:p w:rsidR="00F83660" w:rsidRPr="00863CCE" w:rsidRDefault="00F83660" w:rsidP="00863CCE">
      <w:pPr>
        <w:spacing w:after="0" w:line="360" w:lineRule="auto"/>
        <w:ind w:right="720"/>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ככלל אין מפנים נפטר מקברו, אלא מאחת הסיבות הבאות:</w:t>
      </w:r>
    </w:p>
    <w:p w:rsidR="00F83660" w:rsidRPr="00863CCE" w:rsidRDefault="00F83660" w:rsidP="00F83660">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כדי לקברו בקברי אבותיו ומשפחתו.</w:t>
      </w:r>
    </w:p>
    <w:p w:rsidR="00F83660" w:rsidRPr="00863CCE" w:rsidRDefault="00F83660" w:rsidP="00F83660">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להעבירו מקבר שאינו שלו לקבר שלו.</w:t>
      </w:r>
    </w:p>
    <w:p w:rsidR="00F83660" w:rsidRPr="00863CCE" w:rsidRDefault="00F83660" w:rsidP="00F83660">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אם קבור בין הנכרים או ליד נכרי.</w:t>
      </w:r>
    </w:p>
    <w:p w:rsidR="00F83660" w:rsidRPr="00863CCE" w:rsidRDefault="00F83660" w:rsidP="00F83660">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אם נקבר בקבר גזול, דהיינו שלא ברשות בעליו.</w:t>
      </w:r>
    </w:p>
    <w:p w:rsidR="00F83660" w:rsidRPr="00863CCE" w:rsidRDefault="00F83660" w:rsidP="00F83660">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אם הקבר מזיק את הרבים, כגון שהוא סמוך לדרך.</w:t>
      </w:r>
    </w:p>
    <w:p w:rsidR="00F83660" w:rsidRPr="00863CCE" w:rsidRDefault="00F83660" w:rsidP="00F83660">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כדי להביאו מחוץ לארץ לארץ ישראל.</w:t>
      </w:r>
    </w:p>
    <w:p w:rsidR="00F83660" w:rsidRPr="00863CCE" w:rsidRDefault="00F83660" w:rsidP="00F83660">
      <w:pPr>
        <w:numPr>
          <w:ilvl w:val="0"/>
          <w:numId w:val="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אם קבור במקום שאינו משתמר, ויש חשש שהקבר ינזק.</w:t>
      </w:r>
    </w:p>
    <w:p w:rsidR="00F83660" w:rsidRPr="00863CCE" w:rsidRDefault="00F83660" w:rsidP="00F83660">
      <w:pPr>
        <w:numPr>
          <w:ilvl w:val="0"/>
          <w:numId w:val="1"/>
        </w:numPr>
        <w:tabs>
          <w:tab w:val="left" w:pos="8306"/>
        </w:tabs>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אם קברוהו על דעת לפנותו משם, או שהוא ציוה לפני מותו לפנותו מקברו למקום אחר.</w:t>
      </w:r>
    </w:p>
    <w:p w:rsidR="00D5072B" w:rsidRDefault="00F83660">
      <w:r w:rsidRPr="00863CCE">
        <w:rPr>
          <w:rFonts w:ascii="Keren" w:eastAsia="Times New Roman" w:hAnsi="Keren" w:cs="David"/>
          <w:szCs w:val="20"/>
          <w:rtl/>
          <w:lang w:eastAsia="he-IL"/>
          <w14:ligatures w14:val="none"/>
        </w:rPr>
        <w:t xml:space="preserve">גם כשמפנים מת באופן המותר, צריך להשתדל לחכות שיתעכל הבשר ויפנו רק את העצמות. ואם מפנים ארון, אין פותחים אותו. בפינוי מת צריך ליטול גם את העפר שהיה מונח שם ובלע מהמת, ולקבור עמו במקום החדש (משנה נזיר פרק ט, ג; אהלות טז, ג). והשיעור הוא 3 אצבעות (6 ס"מ, ולשיטת חזון איש 7.2 ס"מ) בעומק ומכל צד. לאחר פינוי הקבר הקרקע לא נאסרת בהנאה שקרקע עולם אינה נאסרת (סנהדרין מז, ב. שלחן ערוך יורה דעה סימן שסד, א). הלכות פינוי קברים מובאות בשלחן ערוך שם סימן שסג, ובספרנו בעמוד @. ע"ע </w:t>
      </w:r>
      <w:r w:rsidRPr="00863CCE">
        <w:rPr>
          <w:rFonts w:ascii="Keren" w:eastAsia="Times New Roman" w:hAnsi="Keren" w:cs="David"/>
          <w:b/>
          <w:bCs/>
          <w:szCs w:val="20"/>
          <w:rtl/>
          <w:lang w:eastAsia="he-IL"/>
          <w14:ligatures w14:val="none"/>
        </w:rPr>
        <w:t xml:space="preserve">חרדת הדין. ניוול המת. קבר המזיק את הרבים. קבר הנמצא.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eren">
    <w:altName w:val="Times New Roman"/>
    <w:charset w:val="B1"/>
    <w:family w:val="auto"/>
    <w:pitch w:val="variable"/>
    <w:sig w:usb0="00001801" w:usb1="0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81654"/>
    <w:multiLevelType w:val="hybridMultilevel"/>
    <w:tmpl w:val="9C22556E"/>
    <w:lvl w:ilvl="0" w:tplc="FFFFFFFF">
      <w:numFmt w:val="irohaFullWidth"/>
      <w:lvlText w:val="-"/>
      <w:lvlJc w:val="left"/>
      <w:pPr>
        <w:tabs>
          <w:tab w:val="num" w:pos="720"/>
        </w:tabs>
        <w:ind w:left="720" w:hanging="360"/>
      </w:pPr>
      <w:rPr>
        <w:rFonts w:ascii="Keren" w:eastAsia="Times New Roman" w:hAnsi="Keren" w:cs="David" w:hint="cs"/>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972663415">
    <w:abstractNumId w:val="0"/>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660"/>
    <w:rsid w:val="000D0A23"/>
    <w:rsid w:val="002C1211"/>
    <w:rsid w:val="005C4B14"/>
    <w:rsid w:val="00AA7185"/>
    <w:rsid w:val="00B22A00"/>
    <w:rsid w:val="00D5072B"/>
    <w:rsid w:val="00F836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0B6FE6-CAB0-42E4-B273-EBD7A2421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83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83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8366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8366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8366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36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36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36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366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8366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8366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8366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83660"/>
    <w:rPr>
      <w:rFonts w:eastAsiaTheme="majorEastAsia" w:cstheme="majorBidi"/>
      <w:i/>
      <w:iCs/>
      <w:color w:val="0F4761" w:themeColor="accent1" w:themeShade="BF"/>
    </w:rPr>
  </w:style>
  <w:style w:type="character" w:customStyle="1" w:styleId="50">
    <w:name w:val="כותרת 5 תו"/>
    <w:basedOn w:val="a0"/>
    <w:link w:val="5"/>
    <w:uiPriority w:val="9"/>
    <w:semiHidden/>
    <w:rsid w:val="00F83660"/>
    <w:rPr>
      <w:rFonts w:eastAsiaTheme="majorEastAsia" w:cstheme="majorBidi"/>
      <w:color w:val="0F4761" w:themeColor="accent1" w:themeShade="BF"/>
    </w:rPr>
  </w:style>
  <w:style w:type="character" w:customStyle="1" w:styleId="60">
    <w:name w:val="כותרת 6 תו"/>
    <w:basedOn w:val="a0"/>
    <w:link w:val="6"/>
    <w:uiPriority w:val="9"/>
    <w:semiHidden/>
    <w:rsid w:val="00F83660"/>
    <w:rPr>
      <w:rFonts w:eastAsiaTheme="majorEastAsia" w:cstheme="majorBidi"/>
      <w:i/>
      <w:iCs/>
      <w:color w:val="595959" w:themeColor="text1" w:themeTint="A6"/>
    </w:rPr>
  </w:style>
  <w:style w:type="character" w:customStyle="1" w:styleId="70">
    <w:name w:val="כותרת 7 תו"/>
    <w:basedOn w:val="a0"/>
    <w:link w:val="7"/>
    <w:uiPriority w:val="9"/>
    <w:semiHidden/>
    <w:rsid w:val="00F83660"/>
    <w:rPr>
      <w:rFonts w:eastAsiaTheme="majorEastAsia" w:cstheme="majorBidi"/>
      <w:color w:val="595959" w:themeColor="text1" w:themeTint="A6"/>
    </w:rPr>
  </w:style>
  <w:style w:type="character" w:customStyle="1" w:styleId="80">
    <w:name w:val="כותרת 8 תו"/>
    <w:basedOn w:val="a0"/>
    <w:link w:val="8"/>
    <w:uiPriority w:val="9"/>
    <w:semiHidden/>
    <w:rsid w:val="00F83660"/>
    <w:rPr>
      <w:rFonts w:eastAsiaTheme="majorEastAsia" w:cstheme="majorBidi"/>
      <w:i/>
      <w:iCs/>
      <w:color w:val="272727" w:themeColor="text1" w:themeTint="D8"/>
    </w:rPr>
  </w:style>
  <w:style w:type="character" w:customStyle="1" w:styleId="90">
    <w:name w:val="כותרת 9 תו"/>
    <w:basedOn w:val="a0"/>
    <w:link w:val="9"/>
    <w:uiPriority w:val="9"/>
    <w:semiHidden/>
    <w:rsid w:val="00F83660"/>
    <w:rPr>
      <w:rFonts w:eastAsiaTheme="majorEastAsia" w:cstheme="majorBidi"/>
      <w:color w:val="272727" w:themeColor="text1" w:themeTint="D8"/>
    </w:rPr>
  </w:style>
  <w:style w:type="paragraph" w:styleId="a3">
    <w:name w:val="Title"/>
    <w:basedOn w:val="a"/>
    <w:next w:val="a"/>
    <w:link w:val="a4"/>
    <w:uiPriority w:val="10"/>
    <w:qFormat/>
    <w:rsid w:val="00F83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836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366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8366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83660"/>
    <w:pPr>
      <w:spacing w:before="160"/>
      <w:jc w:val="center"/>
    </w:pPr>
    <w:rPr>
      <w:i/>
      <w:iCs/>
      <w:color w:val="404040" w:themeColor="text1" w:themeTint="BF"/>
    </w:rPr>
  </w:style>
  <w:style w:type="character" w:customStyle="1" w:styleId="a8">
    <w:name w:val="ציטוט תו"/>
    <w:basedOn w:val="a0"/>
    <w:link w:val="a7"/>
    <w:uiPriority w:val="29"/>
    <w:rsid w:val="00F83660"/>
    <w:rPr>
      <w:i/>
      <w:iCs/>
      <w:color w:val="404040" w:themeColor="text1" w:themeTint="BF"/>
    </w:rPr>
  </w:style>
  <w:style w:type="paragraph" w:styleId="a9">
    <w:name w:val="List Paragraph"/>
    <w:basedOn w:val="a"/>
    <w:uiPriority w:val="34"/>
    <w:qFormat/>
    <w:rsid w:val="00F83660"/>
    <w:pPr>
      <w:ind w:left="720"/>
      <w:contextualSpacing/>
    </w:pPr>
  </w:style>
  <w:style w:type="character" w:styleId="aa">
    <w:name w:val="Intense Emphasis"/>
    <w:basedOn w:val="a0"/>
    <w:uiPriority w:val="21"/>
    <w:qFormat/>
    <w:rsid w:val="00F83660"/>
    <w:rPr>
      <w:i/>
      <w:iCs/>
      <w:color w:val="0F4761" w:themeColor="accent1" w:themeShade="BF"/>
    </w:rPr>
  </w:style>
  <w:style w:type="paragraph" w:styleId="ab">
    <w:name w:val="Intense Quote"/>
    <w:basedOn w:val="a"/>
    <w:next w:val="a"/>
    <w:link w:val="ac"/>
    <w:uiPriority w:val="30"/>
    <w:qFormat/>
    <w:rsid w:val="00F83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83660"/>
    <w:rPr>
      <w:i/>
      <w:iCs/>
      <w:color w:val="0F4761" w:themeColor="accent1" w:themeShade="BF"/>
    </w:rPr>
  </w:style>
  <w:style w:type="character" w:styleId="ad">
    <w:name w:val="Intense Reference"/>
    <w:basedOn w:val="a0"/>
    <w:uiPriority w:val="32"/>
    <w:qFormat/>
    <w:rsid w:val="00F836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189</Words>
  <Characters>945</Characters>
  <Application>Microsoft Office Word</Application>
  <DocSecurity>0</DocSecurity>
  <Lines>7</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