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0F01" w:rsidRPr="00863CCE" w:rsidRDefault="009C0F01"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04"/>
      <w:r w:rsidRPr="00863CCE">
        <w:rPr>
          <w:rFonts w:ascii="Keren" w:eastAsia="Times New Roman" w:hAnsi="Keren" w:cs="David"/>
          <w:b/>
          <w:bCs/>
          <w:sz w:val="26"/>
          <w:szCs w:val="24"/>
          <w:rtl/>
          <w:lang w:eastAsia="he-IL"/>
          <w14:ligatures w14:val="none"/>
        </w:rPr>
        <w:t>צוואה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"צוואה:ערך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C0F01" w:rsidRPr="00863CCE" w:rsidRDefault="009C0F0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הבקשה האחרונה שמבקש האדם לפני מותו מבני ביתו ומבאי כוחו. משאלות או ציווים שאדם משאיר לבניו, בכתב או בעל פה.</w:t>
      </w:r>
    </w:p>
    <w:p w:rsidR="009C0F01" w:rsidRPr="00863CCE" w:rsidRDefault="009C0F0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צוואה במתנת בריא, והיא מסמך הלכתי משפטי שעל פי דין תורה צריך לכתוב בה קניין, או לבצע בה קניין. (אם עושים אותה אצל עורך דין ורוצים שתהיה תקפה על פי דין תורה, יש לציין בצוואה שנעשה גם קניין באופן המועיל על פי דין תורה). יש צוואת שכיב מרע - דהיינו של אדם הנוטה למות, שחכמים קבעו שבמקרה זה מספיקה אמירת פיו, כיון שכל דברי שכיב מרע ככתובים וכמסורים דמו. ע"ע </w:t>
      </w:r>
      <w:r w:rsidRPr="00863CCE">
        <w:rPr>
          <w:rFonts w:ascii="Keren" w:eastAsia="Times New Roman" w:hAnsi="Keren" w:cs="David"/>
          <w:b/>
          <w:bCs/>
          <w:szCs w:val="20"/>
          <w:rtl/>
          <w:lang w:eastAsia="he-IL"/>
          <w14:ligatures w14:val="none"/>
        </w:rPr>
        <w:t>שכיב מרע.</w:t>
      </w:r>
    </w:p>
    <w:p w:rsidR="009C0F01" w:rsidRPr="00863CCE" w:rsidRDefault="009C0F01"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אף על פי שיש כללי ירושה בתורה, שאי אפשר לשנותם, כגון "</w:t>
      </w:r>
      <w:r w:rsidRPr="00863CCE">
        <w:rPr>
          <w:rFonts w:ascii="Keren" w:eastAsia="Times New Roman" w:hAnsi="Keren" w:cs="David"/>
          <w:sz w:val="20"/>
          <w:szCs w:val="20"/>
          <w:rtl/>
          <w:lang w:eastAsia="he-IL"/>
          <w14:ligatures w14:val="none"/>
        </w:rPr>
        <w:t>וְהָיָה בְּיוֹם הַנְחִילוֹ אֶת בָּנָיו אֵת אֲשֶׁר יִהְיֶה לוֹ לֹא יוּכַל לְבַכֵּר אֶת בֶּן הָאֲהוּבָה עַל פְּנֵי בֶן הַשְּׂנוּאָה הַבְּכֹר</w:t>
      </w:r>
      <w:r w:rsidRPr="00863CCE">
        <w:rPr>
          <w:rFonts w:ascii="Keren" w:eastAsia="Times New Roman" w:hAnsi="Keren" w:cs="David"/>
          <w:szCs w:val="20"/>
          <w:rtl/>
          <w:lang w:eastAsia="he-IL"/>
          <w14:ligatures w14:val="none"/>
        </w:rPr>
        <w:t xml:space="preserve">" (דברים כא, טז); בכל זאת יש אפשרות לאדם לחלק את נכסיו כפי שירצה, בתנאי שיחלקם בתורת </w:t>
      </w:r>
      <w:r w:rsidRPr="00863CCE">
        <w:rPr>
          <w:rFonts w:ascii="Keren" w:eastAsia="Times New Roman" w:hAnsi="Keren" w:cs="David"/>
          <w:szCs w:val="20"/>
          <w:u w:val="single"/>
          <w:rtl/>
          <w:lang w:eastAsia="he-IL"/>
          <w14:ligatures w14:val="none"/>
        </w:rPr>
        <w:t>מתנה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מתנה:</w:instrText>
      </w:r>
      <w:r w:rsidRPr="00863CCE">
        <w:rPr>
          <w:rFonts w:ascii="Keren" w:eastAsia="Times New Roman" w:hAnsi="Keren" w:cs="David"/>
          <w:sz w:val="28"/>
          <w:szCs w:val="24"/>
          <w:rtl/>
          <w:lang w:eastAsia="he-IL"/>
          <w14:ligatures w14:val="none"/>
        </w:rPr>
        <w:instrText>בצוואה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ולא בתורת </w:t>
      </w:r>
      <w:r w:rsidRPr="00863CCE">
        <w:rPr>
          <w:rFonts w:ascii="Keren" w:eastAsia="Times New Roman" w:hAnsi="Keren" w:cs="David"/>
          <w:szCs w:val="20"/>
          <w:u w:val="single"/>
          <w:rtl/>
          <w:lang w:eastAsia="he-IL"/>
          <w14:ligatures w14:val="none"/>
        </w:rPr>
        <w:t>ירושה</w:t>
      </w:r>
      <w:r w:rsidRPr="00863CCE">
        <w:rPr>
          <w:rFonts w:ascii="Keren" w:eastAsia="Times New Roman" w:hAnsi="Keren" w:cs="David"/>
          <w:szCs w:val="20"/>
          <w:rtl/>
          <w:lang w:eastAsia="he-IL"/>
          <w14:ligatures w14:val="none"/>
        </w:rPr>
        <w:t xml:space="preserve">. </w:t>
      </w:r>
    </w:p>
    <w:p w:rsidR="009C0F01" w:rsidRPr="00863CCE" w:rsidRDefault="009C0F0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רצוי וראוי לאדם שיכתוב מבעוד מועד צוואה, כדי להורות כיצד לחלק את נכסיו לאחר מותו וכדי למנוע מצב של קטטה או מריבה בין יורשיו. ויצוה את משפחתו ואת בניו ובנותיו לנהוג ביניהם באהבה ובכבוד, ועל ידי כך יניח להם שלום ושלוה. יש שכתבו שיש לאדם לכתוב צוואה בהגיעו לגיל חמישים שנה. (חיים וחסד פרק כה). </w:t>
      </w:r>
    </w:p>
    <w:p w:rsidR="009C0F01" w:rsidRPr="00863CCE" w:rsidRDefault="009C0F01"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אם אדם חושש שבניו יתקוטטו ביניהם על מה שיוריש להם, יחלק נכסיו קודם מותו כדי למנוע מריבה בביתו. ואוי לנפש האב הגורם בהנהגתו קטטה בין בניו, שגם הוא לא ינוח בשלום על משכבו בהשקט. ואם הוא חכם ורואה את הנולד ומתקן עד מקום שידו מגעת, עליו נאמר וחוסה במותו צדיק. ואם הבנים מחמת צוואתו יתנהגו באחוה בשלום ובמישור, יתנו מעדנים לנפשו וישכב ואין מחריד (מעבר יַבֹּק מאמר שפתי צדק פרק ח).</w:t>
      </w:r>
    </w:p>
    <w:p w:rsidR="009C0F01" w:rsidRPr="00863CCE" w:rsidRDefault="009C0F0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מלבד הצוואה המשפטית של חלוקת רכוש, ישנה צוואה רוחנית של אדם, בעיקר לבניו ולבנותיו; על תכלית החיים, על הנהגות טובות בין אדם לחברו ובין אדם למקום. </w:t>
      </w:r>
    </w:p>
    <w:p w:rsidR="009C0F01" w:rsidRPr="00863CCE" w:rsidRDefault="009C0F0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התייחסות מפורטת לכתיבת צוואה על פי ההלכה וגם על פי החוק, מובאת בפרקים@ סז – סח בספר, בעמוד @.</w:t>
      </w:r>
    </w:p>
    <w:p w:rsidR="00D5072B" w:rsidRDefault="009C0F01">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מצוה לקיים דברי המת. שכיב מרע.</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01"/>
    <w:rsid w:val="000D0A23"/>
    <w:rsid w:val="002C1211"/>
    <w:rsid w:val="005C4B14"/>
    <w:rsid w:val="009C0F01"/>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34CE4C-7588-437D-8393-CBD5984FB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C0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C0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C0F0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0F0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0F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0F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0F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0F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0F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C0F0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C0F0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C0F0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C0F01"/>
    <w:rPr>
      <w:rFonts w:eastAsiaTheme="majorEastAsia" w:cstheme="majorBidi"/>
      <w:i/>
      <w:iCs/>
      <w:color w:val="0F4761" w:themeColor="accent1" w:themeShade="BF"/>
    </w:rPr>
  </w:style>
  <w:style w:type="character" w:customStyle="1" w:styleId="50">
    <w:name w:val="כותרת 5 תו"/>
    <w:basedOn w:val="a0"/>
    <w:link w:val="5"/>
    <w:uiPriority w:val="9"/>
    <w:semiHidden/>
    <w:rsid w:val="009C0F01"/>
    <w:rPr>
      <w:rFonts w:eastAsiaTheme="majorEastAsia" w:cstheme="majorBidi"/>
      <w:color w:val="0F4761" w:themeColor="accent1" w:themeShade="BF"/>
    </w:rPr>
  </w:style>
  <w:style w:type="character" w:customStyle="1" w:styleId="60">
    <w:name w:val="כותרת 6 תו"/>
    <w:basedOn w:val="a0"/>
    <w:link w:val="6"/>
    <w:uiPriority w:val="9"/>
    <w:semiHidden/>
    <w:rsid w:val="009C0F01"/>
    <w:rPr>
      <w:rFonts w:eastAsiaTheme="majorEastAsia" w:cstheme="majorBidi"/>
      <w:i/>
      <w:iCs/>
      <w:color w:val="595959" w:themeColor="text1" w:themeTint="A6"/>
    </w:rPr>
  </w:style>
  <w:style w:type="character" w:customStyle="1" w:styleId="70">
    <w:name w:val="כותרת 7 תו"/>
    <w:basedOn w:val="a0"/>
    <w:link w:val="7"/>
    <w:uiPriority w:val="9"/>
    <w:semiHidden/>
    <w:rsid w:val="009C0F01"/>
    <w:rPr>
      <w:rFonts w:eastAsiaTheme="majorEastAsia" w:cstheme="majorBidi"/>
      <w:color w:val="595959" w:themeColor="text1" w:themeTint="A6"/>
    </w:rPr>
  </w:style>
  <w:style w:type="character" w:customStyle="1" w:styleId="80">
    <w:name w:val="כותרת 8 תו"/>
    <w:basedOn w:val="a0"/>
    <w:link w:val="8"/>
    <w:uiPriority w:val="9"/>
    <w:semiHidden/>
    <w:rsid w:val="009C0F01"/>
    <w:rPr>
      <w:rFonts w:eastAsiaTheme="majorEastAsia" w:cstheme="majorBidi"/>
      <w:i/>
      <w:iCs/>
      <w:color w:val="272727" w:themeColor="text1" w:themeTint="D8"/>
    </w:rPr>
  </w:style>
  <w:style w:type="character" w:customStyle="1" w:styleId="90">
    <w:name w:val="כותרת 9 תו"/>
    <w:basedOn w:val="a0"/>
    <w:link w:val="9"/>
    <w:uiPriority w:val="9"/>
    <w:semiHidden/>
    <w:rsid w:val="009C0F01"/>
    <w:rPr>
      <w:rFonts w:eastAsiaTheme="majorEastAsia" w:cstheme="majorBidi"/>
      <w:color w:val="272727" w:themeColor="text1" w:themeTint="D8"/>
    </w:rPr>
  </w:style>
  <w:style w:type="paragraph" w:styleId="a3">
    <w:name w:val="Title"/>
    <w:basedOn w:val="a"/>
    <w:next w:val="a"/>
    <w:link w:val="a4"/>
    <w:uiPriority w:val="10"/>
    <w:qFormat/>
    <w:rsid w:val="009C0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C0F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0F0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C0F0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C0F01"/>
    <w:pPr>
      <w:spacing w:before="160"/>
      <w:jc w:val="center"/>
    </w:pPr>
    <w:rPr>
      <w:i/>
      <w:iCs/>
      <w:color w:val="404040" w:themeColor="text1" w:themeTint="BF"/>
    </w:rPr>
  </w:style>
  <w:style w:type="character" w:customStyle="1" w:styleId="a8">
    <w:name w:val="ציטוט תו"/>
    <w:basedOn w:val="a0"/>
    <w:link w:val="a7"/>
    <w:uiPriority w:val="29"/>
    <w:rsid w:val="009C0F01"/>
    <w:rPr>
      <w:i/>
      <w:iCs/>
      <w:color w:val="404040" w:themeColor="text1" w:themeTint="BF"/>
    </w:rPr>
  </w:style>
  <w:style w:type="paragraph" w:styleId="a9">
    <w:name w:val="List Paragraph"/>
    <w:basedOn w:val="a"/>
    <w:uiPriority w:val="34"/>
    <w:qFormat/>
    <w:rsid w:val="009C0F01"/>
    <w:pPr>
      <w:ind w:left="720"/>
      <w:contextualSpacing/>
    </w:pPr>
  </w:style>
  <w:style w:type="character" w:styleId="aa">
    <w:name w:val="Intense Emphasis"/>
    <w:basedOn w:val="a0"/>
    <w:uiPriority w:val="21"/>
    <w:qFormat/>
    <w:rsid w:val="009C0F01"/>
    <w:rPr>
      <w:i/>
      <w:iCs/>
      <w:color w:val="0F4761" w:themeColor="accent1" w:themeShade="BF"/>
    </w:rPr>
  </w:style>
  <w:style w:type="paragraph" w:styleId="ab">
    <w:name w:val="Intense Quote"/>
    <w:basedOn w:val="a"/>
    <w:next w:val="a"/>
    <w:link w:val="ac"/>
    <w:uiPriority w:val="30"/>
    <w:qFormat/>
    <w:rsid w:val="009C0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C0F01"/>
    <w:rPr>
      <w:i/>
      <w:iCs/>
      <w:color w:val="0F4761" w:themeColor="accent1" w:themeShade="BF"/>
    </w:rPr>
  </w:style>
  <w:style w:type="character" w:styleId="ad">
    <w:name w:val="Intense Reference"/>
    <w:basedOn w:val="a0"/>
    <w:uiPriority w:val="32"/>
    <w:qFormat/>
    <w:rsid w:val="009C0F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296</Words>
  <Characters>1482</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