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91793" w:rsidRPr="00863CCE" w:rsidRDefault="00891793" w:rsidP="00863CCE">
      <w:pPr>
        <w:spacing w:after="0" w:line="360" w:lineRule="auto"/>
        <w:jc w:val="both"/>
        <w:outlineLvl w:val="6"/>
        <w:rPr>
          <w:rFonts w:ascii="Keren" w:eastAsia="Times New Roman" w:hAnsi="Keren" w:cs="David"/>
          <w:b/>
          <w:bCs/>
          <w:szCs w:val="20"/>
          <w:rtl/>
          <w:lang w:eastAsia="he-IL"/>
          <w14:ligatures w14:val="none"/>
        </w:rPr>
      </w:pPr>
      <w:bookmarkStart w:id="0" w:name="_Toc88530411"/>
      <w:r w:rsidRPr="00863CCE">
        <w:rPr>
          <w:rFonts w:ascii="Keren" w:eastAsia="Times New Roman" w:hAnsi="Keren" w:cs="David"/>
          <w:b/>
          <w:bCs/>
          <w:sz w:val="26"/>
          <w:szCs w:val="24"/>
          <w:rtl/>
          <w:lang w:eastAsia="he-IL"/>
          <w14:ligatures w14:val="none"/>
        </w:rPr>
        <w:t>קבורה בארץ ישראל</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"קבורה בארץ ישראל:ערך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891793" w:rsidRPr="00863CCE" w:rsidRDefault="00891793" w:rsidP="00863CCE">
      <w:pPr>
        <w:autoSpaceDE w:val="0"/>
        <w:autoSpaceDN w:val="0"/>
        <w:adjustRightInd w:val="0"/>
        <w:spacing w:after="0" w:line="360" w:lineRule="auto"/>
        <w:jc w:val="both"/>
        <w:rPr>
          <w:rFonts w:ascii="Keren" w:eastAsia="Times New Roman" w:hAnsi="Keren" w:cs="David"/>
          <w:b/>
          <w:bCs/>
          <w:sz w:val="20"/>
          <w:szCs w:val="20"/>
          <w:rtl/>
          <w:lang w:eastAsia="he-IL"/>
          <w14:ligatures w14:val="none"/>
        </w:rPr>
      </w:pPr>
      <w:r w:rsidRPr="00863CCE">
        <w:rPr>
          <w:rFonts w:ascii="Keren" w:eastAsia="Times New Roman" w:hAnsi="Keren" w:cs="David"/>
          <w:szCs w:val="20"/>
          <w:rtl/>
          <w:lang w:eastAsia="he-IL"/>
          <w14:ligatures w14:val="none"/>
        </w:rPr>
        <w:t>ארץ ישראל נקראת ארץ החיים (יחזקאל כו, כ) וארצות החיים (תהלים קטז, ט). בגמרא (כתובות קיא, א) - אמר רבי אלעזר: מתים שבחוץ לארץ אינם חיים. שנאמר "</w:t>
      </w:r>
      <w:r w:rsidRPr="00863CCE">
        <w:rPr>
          <w:rFonts w:ascii="Keren" w:eastAsia="Times New Roman" w:hAnsi="Keren" w:cs="David"/>
          <w:color w:val="000000"/>
          <w:sz w:val="20"/>
          <w:szCs w:val="20"/>
          <w:rtl/>
          <w:lang w:eastAsia="he-IL"/>
          <w14:ligatures w14:val="none"/>
        </w:rPr>
        <w:t>וְנָתַתִּי צְבִי בְּאֶרֶץ חַיִּים</w:t>
      </w:r>
      <w:r w:rsidRPr="00863CCE">
        <w:rPr>
          <w:rFonts w:ascii="Keren" w:eastAsia="Times New Roman" w:hAnsi="Keren" w:cs="David"/>
          <w:szCs w:val="20"/>
          <w:rtl/>
          <w:lang w:eastAsia="he-IL"/>
          <w14:ligatures w14:val="none"/>
        </w:rPr>
        <w:t>" – ארץ שצביוני בה, מתיה חיים, שאין צביוני בה, אין מתיה חיים. הגמרא שואלת על רבי אלעזר: וכי לדעתו צדיקים שבחוץ לארץ אינם חיים? הגמרא עונה שתי תשובות: או שחיים על ידי גלגול, או על ידי מחילות.</w:t>
      </w:r>
    </w:p>
    <w:p w:rsidR="00891793" w:rsidRPr="00863CCE" w:rsidRDefault="00891793"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למרות שכל הקבור בארץ ישראל, כאילו קבור תחת המזבח, אינו דומה קולטתו מחיים לקולטתו לאחר מיתה (שם), דהיינו אם נפטר בחוץ לארץ והובא לארץ לקבורה. (בספר מעבר יַבֹּק, מאמר שפתי רננות פרק יב, מוזכר שבחוץ לארץ כוחות הטומאה רבים מאשר בארץ, ולכן צריך התעוררות בפסוקי רחמים על הנשמה ובפרט בזמן הטהרה).</w:t>
      </w:r>
    </w:p>
    <w:p w:rsidR="00891793" w:rsidRPr="00863CCE" w:rsidRDefault="00891793"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בזהר (אחרי מות עב, ב), מובאת התייחסות מחמירה למי שנפטר בחוץ לארץ ומובא לארץ ישראל לקבורה:</w:t>
      </w:r>
    </w:p>
    <w:p w:rsidR="00891793" w:rsidRPr="00863CCE" w:rsidRDefault="00891793"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זכאה חולקיה מאן דזכי בחייוי למשרי מדורא בארעא קדישא. דכל מאן דזכי ליה, זכי לאנגדא מטלא דשמיא דלעלא דנחית על ארעא. וכל מאן דזכי לאתקשרא בחייוי בהאי ארעא קדישא, זכי לאתקשרא לבתר בארעא קדישא עלאה.</w:t>
      </w:r>
    </w:p>
    <w:p w:rsidR="00891793" w:rsidRPr="00863CCE" w:rsidRDefault="00891793" w:rsidP="00863CCE">
      <w:pPr>
        <w:autoSpaceDE w:val="0"/>
        <w:autoSpaceDN w:val="0"/>
        <w:adjustRightInd w:val="0"/>
        <w:spacing w:after="0" w:line="360" w:lineRule="auto"/>
        <w:ind w:left="386"/>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וכל מאן דלא זכי בחייוי, ומייתין ליה לאתקברא תמן, עלה כתיב "</w:t>
      </w:r>
      <w:r w:rsidRPr="00863CCE">
        <w:rPr>
          <w:rFonts w:ascii="Keren" w:eastAsia="Times New Roman" w:hAnsi="Keren" w:cs="David"/>
          <w:sz w:val="20"/>
          <w:szCs w:val="20"/>
          <w:rtl/>
          <w:lang w:eastAsia="he-IL"/>
          <w14:ligatures w14:val="none"/>
        </w:rPr>
        <w:t>וְנַחֲלָתִי שַׂמְתֶּם לְתוֹעֵבָה</w:t>
      </w:r>
      <w:r w:rsidRPr="00863CCE">
        <w:rPr>
          <w:rFonts w:ascii="Keren" w:eastAsia="Times New Roman" w:hAnsi="Keren" w:cs="David"/>
          <w:szCs w:val="20"/>
          <w:rtl/>
          <w:lang w:eastAsia="he-IL"/>
          <w14:ligatures w14:val="none"/>
        </w:rPr>
        <w:t>". רוחה נפיק ברשותא נוכראה אחרא, וגופה אתי תחות רשותא דארעא קדישא. כביכול עביד קודש חול וחול קודש.</w:t>
      </w:r>
    </w:p>
    <w:p w:rsidR="00891793" w:rsidRPr="00863CCE" w:rsidRDefault="00891793"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וכל מאן דזכי למיפק נשמתה בארעא קדישא, אתכפרו חובוי, וזכי לאתקשרא תחות גדפוי דשכינתא, דכתיב "</w:t>
      </w:r>
      <w:r w:rsidRPr="00863CCE">
        <w:rPr>
          <w:rFonts w:ascii="Times New Roman" w:eastAsia="Times New Roman" w:hAnsi="Times New Roman" w:cs="David"/>
          <w:color w:val="000000"/>
          <w:sz w:val="18"/>
          <w:szCs w:val="20"/>
          <w:rtl/>
          <w:lang w:eastAsia="he-IL"/>
          <w14:ligatures w14:val="none"/>
        </w:rPr>
        <w:t>וְכִפֶּר אַדְמָתוֹ עַמּו</w:t>
      </w:r>
      <w:r w:rsidRPr="00863CCE">
        <w:rPr>
          <w:rFonts w:ascii="Keren" w:eastAsia="Times New Roman" w:hAnsi="Keren" w:cs="David"/>
          <w:szCs w:val="20"/>
          <w:rtl/>
          <w:lang w:eastAsia="he-IL"/>
          <w14:ligatures w14:val="none"/>
        </w:rPr>
        <w:t>".</w:t>
      </w:r>
    </w:p>
    <w:p w:rsidR="00891793" w:rsidRPr="00863CCE" w:rsidRDefault="00891793"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(תרגום: זכאי חלקו של מי שזוכה לגור בחייו בארץ הקדושה. שכל מי שזוכה לכך, זוכה למשוך מטל השמים העליון היורד על הארץ. וכל מי שזוכה להתקשר בחייו בארץ הזו הקדושה, זוכה להתקשר לאחר מכן בארץ הקדושה העליונה.</w:t>
      </w:r>
    </w:p>
    <w:p w:rsidR="00891793" w:rsidRPr="00863CCE" w:rsidRDefault="00891793" w:rsidP="00863CCE">
      <w:pPr>
        <w:autoSpaceDE w:val="0"/>
        <w:autoSpaceDN w:val="0"/>
        <w:adjustRightInd w:val="0"/>
        <w:spacing w:after="0" w:line="360" w:lineRule="auto"/>
        <w:ind w:left="386"/>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וכל מי שלא זוכה בחייו, ומביאים אותו להיקבר שם, עליו כתוב "</w:t>
      </w:r>
      <w:r w:rsidRPr="00863CCE">
        <w:rPr>
          <w:rFonts w:ascii="Keren" w:eastAsia="Times New Roman" w:hAnsi="Keren" w:cs="David"/>
          <w:sz w:val="20"/>
          <w:szCs w:val="20"/>
          <w:rtl/>
          <w:lang w:eastAsia="he-IL"/>
          <w14:ligatures w14:val="none"/>
        </w:rPr>
        <w:t>וְנַחֲלָתִי שַׂמְתֶּם לְתוֹעֵבָה</w:t>
      </w:r>
      <w:r w:rsidRPr="00863CCE">
        <w:rPr>
          <w:rFonts w:ascii="Keren" w:eastAsia="Times New Roman" w:hAnsi="Keren" w:cs="David"/>
          <w:szCs w:val="20"/>
          <w:rtl/>
          <w:lang w:eastAsia="he-IL"/>
          <w14:ligatures w14:val="none"/>
        </w:rPr>
        <w:t>". רוחו יוצאת ברשות נכרית אחרת, וגופו בא תחת רשות הארץ הקדושה. כביכול עושה קודש חול והחול קודש.</w:t>
      </w:r>
    </w:p>
    <w:p w:rsidR="00891793" w:rsidRPr="00863CCE" w:rsidRDefault="00891793"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וכל מי שזוכה להוצא נשמתו בארץ הקדושה, מתכפרים חובותיו, וזוכה להקשר תחת כנפי השכינה כמו שכתוב "</w:t>
      </w:r>
      <w:r w:rsidRPr="00863CCE">
        <w:rPr>
          <w:rFonts w:ascii="Times New Roman" w:eastAsia="Times New Roman" w:hAnsi="Times New Roman" w:cs="David"/>
          <w:color w:val="000000"/>
          <w:sz w:val="18"/>
          <w:szCs w:val="20"/>
          <w:rtl/>
          <w:lang w:eastAsia="he-IL"/>
          <w14:ligatures w14:val="none"/>
        </w:rPr>
        <w:t>וְכִפֶּר אַדְמָתוֹ עַמּו</w:t>
      </w:r>
      <w:r w:rsidRPr="00863CCE">
        <w:rPr>
          <w:rFonts w:ascii="Keren" w:eastAsia="Times New Roman" w:hAnsi="Keren" w:cs="David"/>
          <w:szCs w:val="20"/>
          <w:rtl/>
          <w:lang w:eastAsia="he-IL"/>
          <w14:ligatures w14:val="none"/>
        </w:rPr>
        <w:t>").</w:t>
      </w:r>
    </w:p>
    <w:p w:rsidR="00891793" w:rsidRPr="00863CCE" w:rsidRDefault="00891793"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למרות זאת הבאת המת לקבורה בארץ נחשבת למצוה, ומותר אפילו לפנות את המת מקברו לצורך כך (שלחן ערוך יורה דעה סימן שסג). אם אי אפשר לקברו בארץ ישראל, יש נוהגים לשים בקבר מעפר ארץ ישראל (רמ"א בשלחן ערוך שם).</w:t>
      </w:r>
    </w:p>
    <w:p w:rsidR="00D5072B" w:rsidRDefault="00891793">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גלגול מחילות</w:t>
      </w:r>
      <w:r w:rsidRPr="00863CCE">
        <w:rPr>
          <w:rFonts w:ascii="Keren" w:eastAsia="Times New Roman" w:hAnsi="Keren" w:cs="David"/>
          <w:szCs w:val="20"/>
          <w:rtl/>
          <w:lang w:eastAsia="he-IL"/>
          <w14:ligatures w14:val="none"/>
        </w:rPr>
        <w:t xml:space="preserve">. </w:t>
      </w:r>
      <w:r w:rsidRPr="00863CCE">
        <w:rPr>
          <w:rFonts w:ascii="Keren" w:eastAsia="Times New Roman" w:hAnsi="Keren" w:cs="David"/>
          <w:b/>
          <w:bCs/>
          <w:szCs w:val="20"/>
          <w:rtl/>
          <w:lang w:eastAsia="he-IL"/>
          <w14:ligatures w14:val="none"/>
        </w:rPr>
        <w:t>עפר ארץ ישראל. פינוי קבר.</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793"/>
    <w:rsid w:val="000D0A23"/>
    <w:rsid w:val="002C1211"/>
    <w:rsid w:val="005C4B14"/>
    <w:rsid w:val="00891793"/>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5BA83A-2FBC-4497-9258-947C157FC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917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917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9179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9179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9179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9179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9179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9179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9179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91793"/>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891793"/>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891793"/>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891793"/>
    <w:rPr>
      <w:rFonts w:eastAsiaTheme="majorEastAsia" w:cstheme="majorBidi"/>
      <w:i/>
      <w:iCs/>
      <w:color w:val="0F4761" w:themeColor="accent1" w:themeShade="BF"/>
    </w:rPr>
  </w:style>
  <w:style w:type="character" w:customStyle="1" w:styleId="50">
    <w:name w:val="כותרת 5 תו"/>
    <w:basedOn w:val="a0"/>
    <w:link w:val="5"/>
    <w:uiPriority w:val="9"/>
    <w:semiHidden/>
    <w:rsid w:val="00891793"/>
    <w:rPr>
      <w:rFonts w:eastAsiaTheme="majorEastAsia" w:cstheme="majorBidi"/>
      <w:color w:val="0F4761" w:themeColor="accent1" w:themeShade="BF"/>
    </w:rPr>
  </w:style>
  <w:style w:type="character" w:customStyle="1" w:styleId="60">
    <w:name w:val="כותרת 6 תו"/>
    <w:basedOn w:val="a0"/>
    <w:link w:val="6"/>
    <w:uiPriority w:val="9"/>
    <w:semiHidden/>
    <w:rsid w:val="00891793"/>
    <w:rPr>
      <w:rFonts w:eastAsiaTheme="majorEastAsia" w:cstheme="majorBidi"/>
      <w:i/>
      <w:iCs/>
      <w:color w:val="595959" w:themeColor="text1" w:themeTint="A6"/>
    </w:rPr>
  </w:style>
  <w:style w:type="character" w:customStyle="1" w:styleId="70">
    <w:name w:val="כותרת 7 תו"/>
    <w:basedOn w:val="a0"/>
    <w:link w:val="7"/>
    <w:uiPriority w:val="9"/>
    <w:semiHidden/>
    <w:rsid w:val="00891793"/>
    <w:rPr>
      <w:rFonts w:eastAsiaTheme="majorEastAsia" w:cstheme="majorBidi"/>
      <w:color w:val="595959" w:themeColor="text1" w:themeTint="A6"/>
    </w:rPr>
  </w:style>
  <w:style w:type="character" w:customStyle="1" w:styleId="80">
    <w:name w:val="כותרת 8 תו"/>
    <w:basedOn w:val="a0"/>
    <w:link w:val="8"/>
    <w:uiPriority w:val="9"/>
    <w:semiHidden/>
    <w:rsid w:val="00891793"/>
    <w:rPr>
      <w:rFonts w:eastAsiaTheme="majorEastAsia" w:cstheme="majorBidi"/>
      <w:i/>
      <w:iCs/>
      <w:color w:val="272727" w:themeColor="text1" w:themeTint="D8"/>
    </w:rPr>
  </w:style>
  <w:style w:type="character" w:customStyle="1" w:styleId="90">
    <w:name w:val="כותרת 9 תו"/>
    <w:basedOn w:val="a0"/>
    <w:link w:val="9"/>
    <w:uiPriority w:val="9"/>
    <w:semiHidden/>
    <w:rsid w:val="00891793"/>
    <w:rPr>
      <w:rFonts w:eastAsiaTheme="majorEastAsia" w:cstheme="majorBidi"/>
      <w:color w:val="272727" w:themeColor="text1" w:themeTint="D8"/>
    </w:rPr>
  </w:style>
  <w:style w:type="paragraph" w:styleId="a3">
    <w:name w:val="Title"/>
    <w:basedOn w:val="a"/>
    <w:next w:val="a"/>
    <w:link w:val="a4"/>
    <w:uiPriority w:val="10"/>
    <w:qFormat/>
    <w:rsid w:val="00891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917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1793"/>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9179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91793"/>
    <w:pPr>
      <w:spacing w:before="160"/>
      <w:jc w:val="center"/>
    </w:pPr>
    <w:rPr>
      <w:i/>
      <w:iCs/>
      <w:color w:val="404040" w:themeColor="text1" w:themeTint="BF"/>
    </w:rPr>
  </w:style>
  <w:style w:type="character" w:customStyle="1" w:styleId="a8">
    <w:name w:val="ציטוט תו"/>
    <w:basedOn w:val="a0"/>
    <w:link w:val="a7"/>
    <w:uiPriority w:val="29"/>
    <w:rsid w:val="00891793"/>
    <w:rPr>
      <w:i/>
      <w:iCs/>
      <w:color w:val="404040" w:themeColor="text1" w:themeTint="BF"/>
    </w:rPr>
  </w:style>
  <w:style w:type="paragraph" w:styleId="a9">
    <w:name w:val="List Paragraph"/>
    <w:basedOn w:val="a"/>
    <w:uiPriority w:val="34"/>
    <w:qFormat/>
    <w:rsid w:val="00891793"/>
    <w:pPr>
      <w:ind w:left="720"/>
      <w:contextualSpacing/>
    </w:pPr>
  </w:style>
  <w:style w:type="character" w:styleId="aa">
    <w:name w:val="Intense Emphasis"/>
    <w:basedOn w:val="a0"/>
    <w:uiPriority w:val="21"/>
    <w:qFormat/>
    <w:rsid w:val="00891793"/>
    <w:rPr>
      <w:i/>
      <w:iCs/>
      <w:color w:val="0F4761" w:themeColor="accent1" w:themeShade="BF"/>
    </w:rPr>
  </w:style>
  <w:style w:type="paragraph" w:styleId="ab">
    <w:name w:val="Intense Quote"/>
    <w:basedOn w:val="a"/>
    <w:next w:val="a"/>
    <w:link w:val="ac"/>
    <w:uiPriority w:val="30"/>
    <w:qFormat/>
    <w:rsid w:val="00891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891793"/>
    <w:rPr>
      <w:i/>
      <w:iCs/>
      <w:color w:val="0F4761" w:themeColor="accent1" w:themeShade="BF"/>
    </w:rPr>
  </w:style>
  <w:style w:type="character" w:styleId="ad">
    <w:name w:val="Intense Reference"/>
    <w:basedOn w:val="a0"/>
    <w:uiPriority w:val="32"/>
    <w:qFormat/>
    <w:rsid w:val="008917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344</Words>
  <Characters>1722</Characters>
  <Application>Microsoft Office Word</Application>
  <DocSecurity>0</DocSecurity>
  <Lines>14</Lines>
  <Paragraphs>4</Paragraphs>
  <ScaleCrop>false</ScaleCrop>
  <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2025-12-04T23:14:00Z</dcterms:created>
  <dcterms:modified xsi:type="dcterms:W3CDTF">2025-12-04T23:14:00Z</dcterms:modified>
</cp:coreProperties>
</file>