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A5E" w:rsidRPr="00863CCE" w:rsidRDefault="00A94A5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9"/>
      <w:r w:rsidRPr="00863CCE">
        <w:rPr>
          <w:rFonts w:ascii="Keren" w:eastAsia="Times New Roman" w:hAnsi="Keren" w:cs="David"/>
          <w:b/>
          <w:bCs/>
          <w:sz w:val="26"/>
          <w:szCs w:val="24"/>
          <w:rtl/>
          <w:lang w:eastAsia="he-IL"/>
          <w14:ligatures w14:val="none"/>
        </w:rPr>
        <w:t>קבורה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94A5E" w:rsidRPr="00863CCE" w:rsidRDefault="00A94A5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לטמון את המת באדמה או בכוכים המיועדים לכך. הקבורה מרומזת בעונש אדם הראשון שאכל מעץ הדעת "</w:t>
      </w:r>
      <w:r w:rsidRPr="00863CCE">
        <w:rPr>
          <w:rFonts w:ascii="Keren" w:eastAsia="Times New Roman" w:hAnsi="Keren" w:cs="David"/>
          <w:sz w:val="20"/>
          <w:szCs w:val="20"/>
          <w:rtl/>
          <w:lang w:eastAsia="he-IL"/>
          <w14:ligatures w14:val="none"/>
        </w:rPr>
        <w:t>עַד שׁוּבְךָ אֶל הָאֲדָמָה כִּי מִמֶּנָּה לֻקָּחְתָּ כִּי עָפָר אַתָּה וְאֶל עָפָר תָּשׁוּב</w:t>
      </w:r>
      <w:r w:rsidRPr="00863CCE">
        <w:rPr>
          <w:rFonts w:ascii="Keren" w:eastAsia="Times New Roman" w:hAnsi="Keren" w:cs="David"/>
          <w:szCs w:val="20"/>
          <w:rtl/>
          <w:lang w:eastAsia="he-IL"/>
          <w14:ligatures w14:val="none"/>
        </w:rPr>
        <w:t>" (בראשית ג, יט).</w:t>
      </w:r>
    </w:p>
    <w:p w:rsidR="00A94A5E" w:rsidRPr="00863CCE" w:rsidRDefault="00A94A5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מתוך הביזיון שמיחס המקרא למי שאינם נקברים, מתבררת חשיבות הקבורה. אי קבורה נחשבת במקרא לקללה: "</w:t>
      </w:r>
      <w:r w:rsidRPr="00863CCE">
        <w:rPr>
          <w:rFonts w:ascii="Keren" w:eastAsia="Times New Roman" w:hAnsi="Keren" w:cs="David"/>
          <w:color w:val="000000"/>
          <w:sz w:val="20"/>
          <w:szCs w:val="20"/>
          <w:rtl/>
          <w:lang w:eastAsia="he-IL"/>
          <w14:ligatures w14:val="none"/>
        </w:rPr>
        <w:t>וְהָיְתָה נִבְלָתְךָ לְמַאֲכָל לְכָל עוֹף הַשָּׁמַיִם וּלְבֶהֱמַת הָאָרֶץ</w:t>
      </w:r>
      <w:r w:rsidRPr="00863CCE">
        <w:rPr>
          <w:rFonts w:ascii="Keren" w:eastAsia="Times New Roman" w:hAnsi="Keren" w:cs="David"/>
          <w:szCs w:val="20"/>
          <w:rtl/>
          <w:lang w:eastAsia="he-IL"/>
          <w14:ligatures w14:val="none"/>
        </w:rPr>
        <w:t>" (דברים כח, כו). גם ירמיהו השתמש בביטוי זה בנבואת פורענות על דורו (טז, ד).</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עשה לקבור הרוגי בית דין שנהרגו, באותו יום. שנאמר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xml:space="preserve">" (דברים כא, כג). ומכאן למדו חכמים לכל מתי ישראל שמצוה לקברם ביום מותם (ספר המצוות לרמב"ם מצות עשה רל"א). </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לא תעשה שלא להלין נבלת התלוי על העץ, שנאמר "</w:t>
      </w:r>
      <w:r w:rsidRPr="00863CCE">
        <w:rPr>
          <w:rFonts w:ascii="Keren" w:eastAsia="Times New Roman" w:hAnsi="Keren" w:cs="David"/>
          <w:sz w:val="20"/>
          <w:szCs w:val="20"/>
          <w:rtl/>
          <w:lang w:eastAsia="he-IL"/>
          <w14:ligatures w14:val="none"/>
        </w:rPr>
        <w:t>לֹא תָלִין נִבְלָתוֹ עַל הָעֵץ</w:t>
      </w:r>
      <w:r w:rsidRPr="00863CCE">
        <w:rPr>
          <w:rFonts w:ascii="Keren" w:eastAsia="Times New Roman" w:hAnsi="Keren" w:cs="David"/>
          <w:szCs w:val="20"/>
          <w:rtl/>
          <w:lang w:eastAsia="he-IL"/>
          <w14:ligatures w14:val="none"/>
        </w:rPr>
        <w:t>". כל המלין את מתו עובר בלא תעשה (סנהדרין מו, ב. רמב"ם הלכות סנהדרין פרק טו, ח). בפרט היו נזהרים שלא להלין את המת בירושלים (בבא קמא פב, ב. תוספתא נגעים פרק ו, ב).</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הקבורה צריכה להיות בקרקע ממש. "לפי שבכל אדם יש זוהמה מזוהמת הנחש, ועל ידי המיתה שישוב אל העפר, חוזרת הזוהמה אל הארץ ונידבקת בעפר כי נחש עפר לחמו, ונשאר האדם זך בלי שמרים" (ספר מנחם אבלים אות מ' ערך מת – טעם המיתה).</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הנותן את מתו בארון ולא קברו בקרקע, עובר משום מלין את המת (שלחן ערוך יורה דעה סימן שסב, א).</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דיון בגמרא (שם) האם הקבורה באה כדי לכפר על הנפטר או כדי למנוע ממנו ביזיון.</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שהקבורה תיעשה על ידי ישראל דווקא, רק אם אין אפשרות (כגון ביום טוב במקום שקוברים אז) ייקבר על ידי גויים. הטעם גם בגלל שזו סגולה למת וגם בגלל שזו מצוה של תורה שיוכל לזכות בה ישראל (גשר החיים פרק טז, א, ה). </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הבן חייב בקבורת אבותיו (שלחן ערוך שם סימן שמח, ב). הבעל חייב בקבורת אשתו (שלחן ערוך אבן העזר סימן פט).</w:t>
      </w:r>
    </w:p>
    <w:p w:rsidR="00A94A5E" w:rsidRPr="00863CCE" w:rsidRDefault="00A94A5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קוברים רשע אצל צדיק, ואפילו לא צדיק אצל חסיד מופלג. אבל קוברים בעל תשובה אצל צדיק גמור. שניים שהיו שונא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שונא:</w:instrText>
      </w:r>
      <w:r w:rsidRPr="00863CCE">
        <w:rPr>
          <w:rFonts w:ascii="Keren" w:eastAsia="Times New Roman" w:hAnsi="Keren" w:cs="David"/>
          <w:sz w:val="28"/>
          <w:szCs w:val="24"/>
          <w:rtl/>
          <w:lang w:eastAsia="he-IL"/>
          <w14:ligatures w14:val="none"/>
        </w:rPr>
        <w:instrText>לא לקבור שני שונאים יחד</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ים זה לזה, אין לקברם יחד. </w:t>
      </w:r>
    </w:p>
    <w:p w:rsidR="00D5072B" w:rsidRDefault="00A94A5E">
      <w:r w:rsidRPr="00863CCE">
        <w:rPr>
          <w:rFonts w:ascii="Keren" w:eastAsia="Times New Roman" w:hAnsi="Keren" w:cs="David"/>
          <w:szCs w:val="20"/>
          <w:rtl/>
          <w:lang w:eastAsia="he-IL"/>
          <w14:ligatures w14:val="none"/>
        </w:rPr>
        <w:t xml:space="preserve">קוברים את המת כשהוא שוכב על גבו ופניו למעלה (שלחן ערוך יורה דעה סימן שסב, ב). נהגו לקבור המת כשרגליו כלפי ירושלים. ע"ע </w:t>
      </w:r>
      <w:r w:rsidRPr="00863CCE">
        <w:rPr>
          <w:rFonts w:ascii="Keren" w:eastAsia="Times New Roman" w:hAnsi="Keren" w:cs="David"/>
          <w:b/>
          <w:bCs/>
          <w:szCs w:val="20"/>
          <w:rtl/>
          <w:lang w:eastAsia="he-IL"/>
          <w14:ligatures w14:val="none"/>
        </w:rPr>
        <w:t xml:space="preserve">ארון המת. יקרא דחיי יקרא דשכבי. כל שישן עמו בחייו נקבר עמו במותו.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5E"/>
    <w:rsid w:val="000D0A23"/>
    <w:rsid w:val="002C1211"/>
    <w:rsid w:val="005C4B14"/>
    <w:rsid w:val="00A94A5E"/>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3AF2AE-36A3-4612-824B-87631598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4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4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4A5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4A5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4A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4A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4A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4A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4A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94A5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94A5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94A5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94A5E"/>
    <w:rPr>
      <w:rFonts w:eastAsiaTheme="majorEastAsia" w:cstheme="majorBidi"/>
      <w:i/>
      <w:iCs/>
      <w:color w:val="0F4761" w:themeColor="accent1" w:themeShade="BF"/>
    </w:rPr>
  </w:style>
  <w:style w:type="character" w:customStyle="1" w:styleId="50">
    <w:name w:val="כותרת 5 תו"/>
    <w:basedOn w:val="a0"/>
    <w:link w:val="5"/>
    <w:uiPriority w:val="9"/>
    <w:semiHidden/>
    <w:rsid w:val="00A94A5E"/>
    <w:rPr>
      <w:rFonts w:eastAsiaTheme="majorEastAsia" w:cstheme="majorBidi"/>
      <w:color w:val="0F4761" w:themeColor="accent1" w:themeShade="BF"/>
    </w:rPr>
  </w:style>
  <w:style w:type="character" w:customStyle="1" w:styleId="60">
    <w:name w:val="כותרת 6 תו"/>
    <w:basedOn w:val="a0"/>
    <w:link w:val="6"/>
    <w:uiPriority w:val="9"/>
    <w:semiHidden/>
    <w:rsid w:val="00A94A5E"/>
    <w:rPr>
      <w:rFonts w:eastAsiaTheme="majorEastAsia" w:cstheme="majorBidi"/>
      <w:i/>
      <w:iCs/>
      <w:color w:val="595959" w:themeColor="text1" w:themeTint="A6"/>
    </w:rPr>
  </w:style>
  <w:style w:type="character" w:customStyle="1" w:styleId="70">
    <w:name w:val="כותרת 7 תו"/>
    <w:basedOn w:val="a0"/>
    <w:link w:val="7"/>
    <w:uiPriority w:val="9"/>
    <w:semiHidden/>
    <w:rsid w:val="00A94A5E"/>
    <w:rPr>
      <w:rFonts w:eastAsiaTheme="majorEastAsia" w:cstheme="majorBidi"/>
      <w:color w:val="595959" w:themeColor="text1" w:themeTint="A6"/>
    </w:rPr>
  </w:style>
  <w:style w:type="character" w:customStyle="1" w:styleId="80">
    <w:name w:val="כותרת 8 תו"/>
    <w:basedOn w:val="a0"/>
    <w:link w:val="8"/>
    <w:uiPriority w:val="9"/>
    <w:semiHidden/>
    <w:rsid w:val="00A94A5E"/>
    <w:rPr>
      <w:rFonts w:eastAsiaTheme="majorEastAsia" w:cstheme="majorBidi"/>
      <w:i/>
      <w:iCs/>
      <w:color w:val="272727" w:themeColor="text1" w:themeTint="D8"/>
    </w:rPr>
  </w:style>
  <w:style w:type="character" w:customStyle="1" w:styleId="90">
    <w:name w:val="כותרת 9 תו"/>
    <w:basedOn w:val="a0"/>
    <w:link w:val="9"/>
    <w:uiPriority w:val="9"/>
    <w:semiHidden/>
    <w:rsid w:val="00A94A5E"/>
    <w:rPr>
      <w:rFonts w:eastAsiaTheme="majorEastAsia" w:cstheme="majorBidi"/>
      <w:color w:val="272727" w:themeColor="text1" w:themeTint="D8"/>
    </w:rPr>
  </w:style>
  <w:style w:type="paragraph" w:styleId="a3">
    <w:name w:val="Title"/>
    <w:basedOn w:val="a"/>
    <w:next w:val="a"/>
    <w:link w:val="a4"/>
    <w:uiPriority w:val="10"/>
    <w:qFormat/>
    <w:rsid w:val="00A9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94A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4A5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94A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94A5E"/>
    <w:pPr>
      <w:spacing w:before="160"/>
      <w:jc w:val="center"/>
    </w:pPr>
    <w:rPr>
      <w:i/>
      <w:iCs/>
      <w:color w:val="404040" w:themeColor="text1" w:themeTint="BF"/>
    </w:rPr>
  </w:style>
  <w:style w:type="character" w:customStyle="1" w:styleId="a8">
    <w:name w:val="ציטוט תו"/>
    <w:basedOn w:val="a0"/>
    <w:link w:val="a7"/>
    <w:uiPriority w:val="29"/>
    <w:rsid w:val="00A94A5E"/>
    <w:rPr>
      <w:i/>
      <w:iCs/>
      <w:color w:val="404040" w:themeColor="text1" w:themeTint="BF"/>
    </w:rPr>
  </w:style>
  <w:style w:type="paragraph" w:styleId="a9">
    <w:name w:val="List Paragraph"/>
    <w:basedOn w:val="a"/>
    <w:uiPriority w:val="34"/>
    <w:qFormat/>
    <w:rsid w:val="00A94A5E"/>
    <w:pPr>
      <w:ind w:left="720"/>
      <w:contextualSpacing/>
    </w:pPr>
  </w:style>
  <w:style w:type="character" w:styleId="aa">
    <w:name w:val="Intense Emphasis"/>
    <w:basedOn w:val="a0"/>
    <w:uiPriority w:val="21"/>
    <w:qFormat/>
    <w:rsid w:val="00A94A5E"/>
    <w:rPr>
      <w:i/>
      <w:iCs/>
      <w:color w:val="0F4761" w:themeColor="accent1" w:themeShade="BF"/>
    </w:rPr>
  </w:style>
  <w:style w:type="paragraph" w:styleId="ab">
    <w:name w:val="Intense Quote"/>
    <w:basedOn w:val="a"/>
    <w:next w:val="a"/>
    <w:link w:val="ac"/>
    <w:uiPriority w:val="30"/>
    <w:qFormat/>
    <w:rsid w:val="00A9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94A5E"/>
    <w:rPr>
      <w:i/>
      <w:iCs/>
      <w:color w:val="0F4761" w:themeColor="accent1" w:themeShade="BF"/>
    </w:rPr>
  </w:style>
  <w:style w:type="character" w:styleId="ad">
    <w:name w:val="Intense Reference"/>
    <w:basedOn w:val="a0"/>
    <w:uiPriority w:val="32"/>
    <w:qFormat/>
    <w:rsid w:val="00A94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1652</Characters>
  <Application>Microsoft Office Word</Application>
  <DocSecurity>0</DocSecurity>
  <Lines>13</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