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434DD" w:rsidRPr="00863CCE" w:rsidRDefault="00D434DD" w:rsidP="00863CCE">
      <w:pPr>
        <w:spacing w:after="0" w:line="360" w:lineRule="auto"/>
        <w:jc w:val="both"/>
        <w:outlineLvl w:val="6"/>
        <w:rPr>
          <w:rFonts w:ascii="Keren" w:eastAsia="Times New Roman" w:hAnsi="Keren" w:cs="David"/>
          <w:b/>
          <w:bCs/>
          <w:sz w:val="26"/>
          <w:szCs w:val="24"/>
          <w:rtl/>
          <w:lang w:eastAsia="he-IL"/>
          <w14:ligatures w14:val="none"/>
        </w:rPr>
      </w:pPr>
      <w:bookmarkStart w:id="0" w:name="_Toc88530416"/>
      <w:r w:rsidRPr="00863CCE">
        <w:rPr>
          <w:rFonts w:ascii="Keren" w:eastAsia="Times New Roman" w:hAnsi="Keren" w:cs="David"/>
          <w:b/>
          <w:bCs/>
          <w:sz w:val="26"/>
          <w:szCs w:val="24"/>
          <w:rtl/>
          <w:lang w:eastAsia="he-IL"/>
          <w14:ligatures w14:val="none"/>
        </w:rPr>
        <w:t>קבורת תרנגול</w:t>
      </w:r>
      <w:bookmarkEnd w:id="0"/>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"קבורת תרנגול:ערך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rsidR="00D434DD" w:rsidRPr="00863CCE" w:rsidRDefault="00D434DD" w:rsidP="00863CCE">
      <w:pPr>
        <w:spacing w:after="0" w:line="360" w:lineRule="auto"/>
        <w:ind w:left="432"/>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המנהג במצרים</w:t>
      </w:r>
      <w:r w:rsidRPr="00863CCE">
        <w:rPr>
          <w:rFonts w:ascii="Keren" w:eastAsia="Times New Roman" w:hAnsi="Keren" w:cs="David"/>
          <w:sz w:val="20"/>
          <w:szCs w:val="20"/>
          <w:rtl/>
          <w:lang w:eastAsia="he-IL"/>
          <w14:ligatures w14:val="none"/>
        </w:rPr>
        <w:t xml:space="preserve"> </w:t>
      </w:r>
      <w:r w:rsidRPr="00863CCE">
        <w:rPr>
          <w:rFonts w:ascii="Keren" w:eastAsia="Times New Roman" w:hAnsi="Keren" w:cs="David"/>
          <w:szCs w:val="20"/>
          <w:rtl/>
          <w:lang w:eastAsia="he-IL"/>
          <w14:ligatures w14:val="none"/>
        </w:rPr>
        <w:t>וירושלים שאם ימותו שני מתים בשנה אחת בתוך חצר אחת, אזי קודם הוצאת המת השני מפתח החצר קוראים לשוחט, ושוחט עוף כפרה</w:t>
      </w:r>
      <w:r w:rsidRPr="00863CCE">
        <w:rPr>
          <w:rFonts w:ascii="Keren" w:eastAsia="Times New Roman" w:hAnsi="Keren" w:cs="David"/>
          <w:szCs w:val="20"/>
          <w:rtl/>
          <w:lang w:eastAsia="he-I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 w:val="28"/>
          <w:szCs w:val="24"/>
          <w:rtl/>
          <w:lang w:eastAsia="he-IL"/>
          <w14:ligatures w14:val="none"/>
        </w:rPr>
        <w:instrText>"</w:instrText>
      </w:r>
      <w:r w:rsidRPr="00863CCE">
        <w:rPr>
          <w:rFonts w:ascii="Keren" w:eastAsia="Times New Roman" w:hAnsi="Keren" w:cs="David"/>
          <w:szCs w:val="20"/>
          <w:rtl/>
          <w:lang w:eastAsia="he-IL"/>
          <w14:ligatures w14:val="none"/>
        </w:rPr>
        <w:instrText>כפרה:</w:instrText>
      </w:r>
      <w:r w:rsidRPr="00863CCE">
        <w:rPr>
          <w:rFonts w:ascii="Keren" w:eastAsia="Times New Roman" w:hAnsi="Keren" w:cs="David"/>
          <w:sz w:val="28"/>
          <w:szCs w:val="24"/>
          <w:rtl/>
          <w:lang w:eastAsia="he-IL"/>
          <w14:ligatures w14:val="none"/>
        </w:rPr>
        <w:instrText>בשחיטת עוף"</w:instrText>
      </w:r>
      <w:r w:rsidRPr="00863CCE">
        <w:rPr>
          <w:rFonts w:ascii="Keren" w:eastAsia="Times New Roman" w:hAnsi="Keren" w:cs="David" w:hint="cs"/>
          <w:sz w:val="28"/>
          <w:szCs w:val="24"/>
          <w:lang w:eastAsia="he-IL"/>
          <w14:ligatures w14:val="none"/>
        </w:rPr>
        <w:instrText xml:space="preserve"> </w:instrText>
      </w:r>
      <w:r w:rsidRPr="00863CCE">
        <w:rPr>
          <w:rFonts w:ascii="Keren" w:eastAsia="Times New Roman" w:hAnsi="Keren" w:cs="David"/>
          <w:szCs w:val="20"/>
          <w:rtl/>
          <w:lang w:eastAsia="he-IL"/>
          <w14:ligatures w14:val="none"/>
        </w:rPr>
        <w:fldChar w:fldCharType="end"/>
      </w:r>
      <w:r w:rsidRPr="00863CCE">
        <w:rPr>
          <w:rFonts w:ascii="Keren" w:eastAsia="Times New Roman" w:hAnsi="Keren" w:cs="David"/>
          <w:szCs w:val="20"/>
          <w:rtl/>
          <w:lang w:eastAsia="he-IL"/>
          <w14:ligatures w14:val="none"/>
        </w:rPr>
        <w:t xml:space="preserve"> על כל בני החצר. וקוברים הראש והרגליים אצל המת השני כדי שיהיה העוף הנשחט הוא השלישי, ולא תאונה רעה לשכנים בחצר. והיא דוגמת כפרות בערב יום כיפור ואין בזה ניחוש. (ספר נהר מצרים, הלכות ניחוש סימן ב'). </w:t>
      </w:r>
    </w:p>
    <w:p w:rsidR="00D434DD" w:rsidRPr="00863CCE" w:rsidRDefault="00D434DD"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בספר מעבר יַבֹּק (מאמר שפת אמת סוף פרק יא) כתב בשם רבי יהודה החסיד שטוב לקבור בקבר ריק תרנגול שנקרא גבר, אולי על ידי כך יחליש ויטמין כוח הדין המושפע מצד המלאך גבריאל הנקרא גבר לבל יעיר כל חמתו.</w:t>
      </w:r>
    </w:p>
    <w:p w:rsidR="00D434DD" w:rsidRPr="00863CCE" w:rsidRDefault="00D434DD" w:rsidP="00863CCE">
      <w:pPr>
        <w:spacing w:after="0" w:line="360" w:lineRule="auto"/>
        <w:jc w:val="both"/>
        <w:rPr>
          <w:rFonts w:ascii="Arial" w:eastAsia="Times New Roman" w:hAnsi="Arial" w:cs="David"/>
          <w:szCs w:val="20"/>
          <w:rtl/>
          <w:lang w:eastAsia="he-IL"/>
          <w14:ligatures w14:val="none"/>
        </w:rPr>
      </w:pPr>
      <w:r w:rsidRPr="00863CCE">
        <w:rPr>
          <w:rFonts w:ascii="Keren" w:eastAsia="Times New Roman" w:hAnsi="Keren" w:cs="David"/>
          <w:szCs w:val="20"/>
          <w:rtl/>
          <w:lang w:eastAsia="he-IL"/>
          <w14:ligatures w14:val="none"/>
        </w:rPr>
        <w:t xml:space="preserve">יש פוסקים שהתנגדו לכך, כיון </w:t>
      </w:r>
      <w:r w:rsidRPr="00863CCE">
        <w:rPr>
          <w:rFonts w:ascii="Arial" w:eastAsia="Times New Roman" w:hAnsi="Arial" w:cs="David"/>
          <w:szCs w:val="20"/>
          <w:rtl/>
          <w:lang w:eastAsia="he-IL"/>
          <w14:ligatures w14:val="none"/>
        </w:rPr>
        <w:t xml:space="preserve">שיש בכך משום דרכי האמורי. אולם הרב עובדיה יוסף פסק שאין לחוש לדרכי האמורי (שו"ת יחוה דעת חלק שישי סימן נ). גם בשו"ת חתם סופר (יורה דעה סימן קלט) כתב שאין לחוש בכגון זה לדרכי האמורי, אבל הוסיף שיותר טוב שלא לחוש כלל לדברים אלו שלא הוזכרו בש"ס. וכך פסק למעשה גם בילקוט יוסף (סימן יב, ו). </w:t>
      </w:r>
    </w:p>
    <w:p w:rsidR="00D5072B" w:rsidRDefault="00D434DD">
      <w:r w:rsidRPr="00863CCE">
        <w:rPr>
          <w:rFonts w:ascii="Arial" w:eastAsia="Times New Roman" w:hAnsi="Arial" w:cs="David"/>
          <w:szCs w:val="20"/>
          <w:rtl/>
          <w:lang w:eastAsia="he-IL"/>
          <w14:ligatures w14:val="none"/>
        </w:rPr>
        <w:t xml:space="preserve">ע"ע </w:t>
      </w:r>
      <w:r w:rsidRPr="00863CCE">
        <w:rPr>
          <w:rFonts w:ascii="Arial" w:eastAsia="Times New Roman" w:hAnsi="Arial" w:cs="David"/>
          <w:b/>
          <w:bCs/>
          <w:szCs w:val="20"/>
          <w:rtl/>
          <w:lang w:eastAsia="he-IL"/>
          <w14:ligatures w14:val="none"/>
        </w:rPr>
        <w:t xml:space="preserve">דרכי האמורי. </w:t>
      </w:r>
    </w:p>
    <w:sectPr w:rsidR="00D5072B" w:rsidSect="005C4B14">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Keren">
    <w:altName w:val="Times New Roman"/>
    <w:charset w:val="B1"/>
    <w:family w:val="auto"/>
    <w:pitch w:val="variable"/>
    <w:sig w:usb0="00001801" w:usb1="00000000" w:usb2="00000000" w:usb3="00000000" w:csb0="00000020" w:csb1="00000000"/>
  </w:font>
  <w:font w:name="David">
    <w:panose1 w:val="020E0502060401010101"/>
    <w:charset w:val="00"/>
    <w:family w:val="swiss"/>
    <w:pitch w:val="variable"/>
    <w:sig w:usb0="00000803" w:usb1="00000000" w:usb2="00000000" w:usb3="00000000" w:csb0="0000002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34DD"/>
    <w:rsid w:val="000D0A23"/>
    <w:rsid w:val="002C1211"/>
    <w:rsid w:val="005C4B14"/>
    <w:rsid w:val="00AA7185"/>
    <w:rsid w:val="00B22A00"/>
    <w:rsid w:val="00D434DD"/>
    <w:rsid w:val="00D5072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FB55859-B6F6-4DA3-A8FF-88CFF2C38B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D434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D434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D434DD"/>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D434DD"/>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D434DD"/>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D434DD"/>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D434DD"/>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D434DD"/>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D434DD"/>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D434DD"/>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D434DD"/>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D434DD"/>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D434DD"/>
    <w:rPr>
      <w:rFonts w:eastAsiaTheme="majorEastAsia" w:cstheme="majorBidi"/>
      <w:i/>
      <w:iCs/>
      <w:color w:val="0F4761" w:themeColor="accent1" w:themeShade="BF"/>
    </w:rPr>
  </w:style>
  <w:style w:type="character" w:customStyle="1" w:styleId="50">
    <w:name w:val="כותרת 5 תו"/>
    <w:basedOn w:val="a0"/>
    <w:link w:val="5"/>
    <w:uiPriority w:val="9"/>
    <w:semiHidden/>
    <w:rsid w:val="00D434DD"/>
    <w:rPr>
      <w:rFonts w:eastAsiaTheme="majorEastAsia" w:cstheme="majorBidi"/>
      <w:color w:val="0F4761" w:themeColor="accent1" w:themeShade="BF"/>
    </w:rPr>
  </w:style>
  <w:style w:type="character" w:customStyle="1" w:styleId="60">
    <w:name w:val="כותרת 6 תו"/>
    <w:basedOn w:val="a0"/>
    <w:link w:val="6"/>
    <w:uiPriority w:val="9"/>
    <w:semiHidden/>
    <w:rsid w:val="00D434DD"/>
    <w:rPr>
      <w:rFonts w:eastAsiaTheme="majorEastAsia" w:cstheme="majorBidi"/>
      <w:i/>
      <w:iCs/>
      <w:color w:val="595959" w:themeColor="text1" w:themeTint="A6"/>
    </w:rPr>
  </w:style>
  <w:style w:type="character" w:customStyle="1" w:styleId="70">
    <w:name w:val="כותרת 7 תו"/>
    <w:basedOn w:val="a0"/>
    <w:link w:val="7"/>
    <w:uiPriority w:val="9"/>
    <w:semiHidden/>
    <w:rsid w:val="00D434DD"/>
    <w:rPr>
      <w:rFonts w:eastAsiaTheme="majorEastAsia" w:cstheme="majorBidi"/>
      <w:color w:val="595959" w:themeColor="text1" w:themeTint="A6"/>
    </w:rPr>
  </w:style>
  <w:style w:type="character" w:customStyle="1" w:styleId="80">
    <w:name w:val="כותרת 8 תו"/>
    <w:basedOn w:val="a0"/>
    <w:link w:val="8"/>
    <w:uiPriority w:val="9"/>
    <w:semiHidden/>
    <w:rsid w:val="00D434DD"/>
    <w:rPr>
      <w:rFonts w:eastAsiaTheme="majorEastAsia" w:cstheme="majorBidi"/>
      <w:i/>
      <w:iCs/>
      <w:color w:val="272727" w:themeColor="text1" w:themeTint="D8"/>
    </w:rPr>
  </w:style>
  <w:style w:type="character" w:customStyle="1" w:styleId="90">
    <w:name w:val="כותרת 9 תו"/>
    <w:basedOn w:val="a0"/>
    <w:link w:val="9"/>
    <w:uiPriority w:val="9"/>
    <w:semiHidden/>
    <w:rsid w:val="00D434DD"/>
    <w:rPr>
      <w:rFonts w:eastAsiaTheme="majorEastAsia" w:cstheme="majorBidi"/>
      <w:color w:val="272727" w:themeColor="text1" w:themeTint="D8"/>
    </w:rPr>
  </w:style>
  <w:style w:type="paragraph" w:styleId="a3">
    <w:name w:val="Title"/>
    <w:basedOn w:val="a"/>
    <w:next w:val="a"/>
    <w:link w:val="a4"/>
    <w:uiPriority w:val="10"/>
    <w:qFormat/>
    <w:rsid w:val="00D434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D434D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434DD"/>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D434DD"/>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D434DD"/>
    <w:pPr>
      <w:spacing w:before="160"/>
      <w:jc w:val="center"/>
    </w:pPr>
    <w:rPr>
      <w:i/>
      <w:iCs/>
      <w:color w:val="404040" w:themeColor="text1" w:themeTint="BF"/>
    </w:rPr>
  </w:style>
  <w:style w:type="character" w:customStyle="1" w:styleId="a8">
    <w:name w:val="ציטוט תו"/>
    <w:basedOn w:val="a0"/>
    <w:link w:val="a7"/>
    <w:uiPriority w:val="29"/>
    <w:rsid w:val="00D434DD"/>
    <w:rPr>
      <w:i/>
      <w:iCs/>
      <w:color w:val="404040" w:themeColor="text1" w:themeTint="BF"/>
    </w:rPr>
  </w:style>
  <w:style w:type="paragraph" w:styleId="a9">
    <w:name w:val="List Paragraph"/>
    <w:basedOn w:val="a"/>
    <w:uiPriority w:val="34"/>
    <w:qFormat/>
    <w:rsid w:val="00D434DD"/>
    <w:pPr>
      <w:ind w:left="720"/>
      <w:contextualSpacing/>
    </w:pPr>
  </w:style>
  <w:style w:type="character" w:styleId="aa">
    <w:name w:val="Intense Emphasis"/>
    <w:basedOn w:val="a0"/>
    <w:uiPriority w:val="21"/>
    <w:qFormat/>
    <w:rsid w:val="00D434DD"/>
    <w:rPr>
      <w:i/>
      <w:iCs/>
      <w:color w:val="0F4761" w:themeColor="accent1" w:themeShade="BF"/>
    </w:rPr>
  </w:style>
  <w:style w:type="paragraph" w:styleId="ab">
    <w:name w:val="Intense Quote"/>
    <w:basedOn w:val="a"/>
    <w:next w:val="a"/>
    <w:link w:val="ac"/>
    <w:uiPriority w:val="30"/>
    <w:qFormat/>
    <w:rsid w:val="00D434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D434DD"/>
    <w:rPr>
      <w:i/>
      <w:iCs/>
      <w:color w:val="0F4761" w:themeColor="accent1" w:themeShade="BF"/>
    </w:rPr>
  </w:style>
  <w:style w:type="character" w:styleId="ad">
    <w:name w:val="Intense Reference"/>
    <w:basedOn w:val="a0"/>
    <w:uiPriority w:val="32"/>
    <w:qFormat/>
    <w:rsid w:val="00D434D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155</Words>
  <Characters>776</Characters>
  <Application>Microsoft Office Word</Application>
  <DocSecurity>0</DocSecurity>
  <Lines>6</Lines>
  <Paragraphs>1</Paragraphs>
  <ScaleCrop>false</ScaleCrop>
  <Company/>
  <LinksUpToDate>false</LinksUpToDate>
  <CharactersWithSpaces>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גילעד שטרוזמן</dc:creator>
  <cp:keywords/>
  <dc:description/>
  <cp:lastModifiedBy>גילעד שטרוזמן</cp:lastModifiedBy>
  <cp:revision>1</cp:revision>
  <dcterms:created xsi:type="dcterms:W3CDTF">2025-12-04T23:14:00Z</dcterms:created>
  <dcterms:modified xsi:type="dcterms:W3CDTF">2025-12-04T23:14:00Z</dcterms:modified>
</cp:coreProperties>
</file>