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0416" w:rsidRPr="00863CCE" w:rsidRDefault="006E0416"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24"/>
      <w:r w:rsidRPr="00863CCE">
        <w:rPr>
          <w:rFonts w:ascii="Keren" w:eastAsia="Times New Roman" w:hAnsi="Keren" w:cs="David"/>
          <w:b/>
          <w:bCs/>
          <w:sz w:val="26"/>
          <w:szCs w:val="24"/>
          <w:rtl/>
          <w:lang w:eastAsia="he-IL"/>
          <w14:ligatures w14:val="none"/>
        </w:rPr>
        <w:t>קריעה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"קריעה:ערך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6E0416" w:rsidRPr="00863CCE" w:rsidRDefault="006E0416"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קריעת הבגד היא סימן לצער ולאבלות, כמו יעקב אבינו שקרע שמלותיו בשמעו כי יוסף בנו מת. מלבד זאת מצאנו פעמים רבות בתנ"ך קריעת בגדים כסימן לאבלות – דוד על שאול ויהונתן, דוד על אבנר, יפתח על בתו, אלישע על הסתלקות אליהו, איוב על בניו. יש דוגמאות רבות נוספות של קריעת בגדים כביטוי לצער ולשמועות קשות. </w:t>
      </w:r>
    </w:p>
    <w:p w:rsidR="006E0416" w:rsidRPr="00863CCE" w:rsidRDefault="006E0416"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מהו תוקף החיוב? – מלשון הגמרא "אבל שלא פרע ולא פרם חייב מיתה"  (מועד קטן כד, א) משמע שהציווי מהתורה. אולם לפי רוב הפוסקים תוקף הציווי מדרבנן (גשר החיים פרק ד, א). </w:t>
      </w:r>
    </w:p>
    <w:p w:rsidR="006E0416" w:rsidRPr="00863CCE" w:rsidRDefault="006E0416"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בטעמי הקריעה יש שכתבו שבא לעורר הצער, ויש שכתבו להפך – להטריד את מחשבת האבל שתהיה על הפסד הבגד, ולהסיח דעתו במקצת מאסון קרובו. בפשטות, הקריעה מבטאת קריעה נפשית של המתאבל והמצטער, עד כדי כך שהנביא היה צריך להוכיח "</w:t>
      </w:r>
      <w:r w:rsidRPr="00863CCE">
        <w:rPr>
          <w:rFonts w:ascii="Keren" w:eastAsia="Times New Roman" w:hAnsi="Keren" w:cs="David"/>
          <w:sz w:val="20"/>
          <w:szCs w:val="20"/>
          <w:rtl/>
          <w:lang w:eastAsia="he-IL"/>
          <w14:ligatures w14:val="none"/>
        </w:rPr>
        <w:t>וְקִרְעוּ לְבַבְכֶם וְאַל בִּגְדֵיכֶם</w:t>
      </w:r>
      <w:r w:rsidRPr="00863CCE">
        <w:rPr>
          <w:rFonts w:ascii="Keren" w:eastAsia="Times New Roman" w:hAnsi="Keren" w:cs="David"/>
          <w:szCs w:val="20"/>
          <w:rtl/>
          <w:lang w:eastAsia="he-IL"/>
          <w14:ligatures w14:val="none"/>
        </w:rPr>
        <w:t>" (יואל ב, יג). בספר מעבר יַבֹּק (מאמר אמרי נועם פרקים לא-לב) מובא הסבר על דרך הקבלה לעניין הקריעה ופרטי הלכותיה.</w:t>
      </w:r>
    </w:p>
    <w:p w:rsidR="006E0416" w:rsidRPr="00863CCE" w:rsidRDefault="006E0416"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מצד עיקר הדין יש לקרוע על המת בשעת יציאת נשמה, אף על פי שאינו קרובו. כיום נהגו למעשה לקרוע בתחילת הלוויה (לפי מנהגי האשכנזים) או אחרי הקבורה (לפי מנהגי עדות המזרח). </w:t>
      </w:r>
    </w:p>
    <w:p w:rsidR="006E0416" w:rsidRPr="00863CCE" w:rsidRDefault="006E0416"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ברור שיש לקרוע את הבגד ואי אפשר לקרוע חתיכת בד המוצמדת לבגד – "ומה נורא המנהג החדש... שלפני זמן קריעה תולים על בגדי אבלים איזה חתיכה של משי שחור, וקורעים בחתיכה זו קרע כל שהוא אשר אינם יוצאים בזה ידי חובת קריעה... " (כל בו על אבלות עמוד 13)</w:t>
      </w:r>
    </w:p>
    <w:p w:rsidR="006E0416" w:rsidRPr="00863CCE" w:rsidRDefault="006E0416"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בדרך כלל יכול האבל לאחות את הקרע לאחר תקופת האבלות, אך על אביו ואמו אינו מאחה את הקרע לעולם. מצד הדין כשם שאדם קורע על אביו ועל אמו (קרע שלא מתאחה לעולם), כך קורע על רבו שלמדו תורה, ועל נשיא הסנהדרין ועל אב בית דין, ועל שמועות הרעות, ועל ברכת ה', ועל ספר תורה שנשרף, ועל ערי יהודה ועל ירושלים ועל המקדש. </w:t>
      </w:r>
    </w:p>
    <w:p w:rsidR="00D5072B" w:rsidRDefault="006E0416">
      <w:r w:rsidRPr="00863CCE">
        <w:rPr>
          <w:rFonts w:ascii="Keren" w:eastAsia="Times New Roman" w:hAnsi="Keren" w:cs="David"/>
          <w:szCs w:val="20"/>
          <w:rtl/>
          <w:lang w:eastAsia="he-IL"/>
          <w14:ligatures w14:val="none"/>
        </w:rPr>
        <w:t>הרואה ספר תורה שנשרף, חייב לקרוע שתי קריעות – אחת על הגויל ואחת על הכתב. למדו זאת ממה שכתוב בספר ירמיהו שהמלך יהויקים שרף את המגילה שכתב ירמיהו, וכתוב על שרי יהודה: "</w:t>
      </w:r>
      <w:r w:rsidRPr="00863CCE">
        <w:rPr>
          <w:rFonts w:ascii="Keren" w:eastAsia="Times New Roman" w:hAnsi="Keren" w:cs="David"/>
          <w:sz w:val="20"/>
          <w:szCs w:val="20"/>
          <w:rtl/>
          <w:lang w:eastAsia="he-IL"/>
          <w14:ligatures w14:val="none"/>
        </w:rPr>
        <w:t>וְלֹא פָחֲדוּ וְלֹא קָרְעוּ אֶת בִּגְדֵיהֶם</w:t>
      </w:r>
      <w:r w:rsidRPr="00863CCE">
        <w:rPr>
          <w:rFonts w:ascii="Keren" w:eastAsia="Times New Roman" w:hAnsi="Keren" w:cs="David"/>
          <w:szCs w:val="20"/>
          <w:rtl/>
          <w:lang w:eastAsia="he-IL"/>
          <w14:ligatures w14:val="none"/>
        </w:rPr>
        <w:t xml:space="preserve">". הגמרא לומדת שלא נהגו כשורה אלא היו חייבים לקרוע. כך גם נפסק להלכה: "הרואה ספר תורה שנשרף או תפילין או אפילו מגילה אחת מהנביאים או מהכתובים, קורע שתי קריעות. ודווקא ששורפין אותו בזרוע, וכמעשה שהיה" (מועד קטן כו, א. מסכת שמחות פרק ט. רמב"ם הלכות אבל פרק ט, ב. שלחן ערוך אורח חיים סימן תקסא ויורה דעה סימן שמ, לו - לח). (ע"ע בילקוט יוסף אבלות סימן ט, כח, לגבי ספר תורה שנשרף בגלל קצר בבית הכנסת, ולגבי ספרי התורה שהושחתו על ידי ערבים במערת המכפלה). ע"ע </w:t>
      </w:r>
      <w:r w:rsidRPr="00863CCE">
        <w:rPr>
          <w:rFonts w:ascii="Keren" w:eastAsia="Times New Roman" w:hAnsi="Keren" w:cs="David"/>
          <w:b/>
          <w:bCs/>
          <w:szCs w:val="20"/>
          <w:rtl/>
          <w:lang w:eastAsia="he-IL"/>
          <w14:ligatures w14:val="none"/>
        </w:rPr>
        <w:t>חליצת כתף.</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416"/>
    <w:rsid w:val="000D0A23"/>
    <w:rsid w:val="002C1211"/>
    <w:rsid w:val="005C4B14"/>
    <w:rsid w:val="006E0416"/>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D8B96E-2BD6-47B2-AF4F-3C7BE9447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E0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E0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E041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E041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E041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E041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E041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E041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E041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E041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E041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E041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E0416"/>
    <w:rPr>
      <w:rFonts w:eastAsiaTheme="majorEastAsia" w:cstheme="majorBidi"/>
      <w:i/>
      <w:iCs/>
      <w:color w:val="0F4761" w:themeColor="accent1" w:themeShade="BF"/>
    </w:rPr>
  </w:style>
  <w:style w:type="character" w:customStyle="1" w:styleId="50">
    <w:name w:val="כותרת 5 תו"/>
    <w:basedOn w:val="a0"/>
    <w:link w:val="5"/>
    <w:uiPriority w:val="9"/>
    <w:semiHidden/>
    <w:rsid w:val="006E0416"/>
    <w:rPr>
      <w:rFonts w:eastAsiaTheme="majorEastAsia" w:cstheme="majorBidi"/>
      <w:color w:val="0F4761" w:themeColor="accent1" w:themeShade="BF"/>
    </w:rPr>
  </w:style>
  <w:style w:type="character" w:customStyle="1" w:styleId="60">
    <w:name w:val="כותרת 6 תו"/>
    <w:basedOn w:val="a0"/>
    <w:link w:val="6"/>
    <w:uiPriority w:val="9"/>
    <w:semiHidden/>
    <w:rsid w:val="006E0416"/>
    <w:rPr>
      <w:rFonts w:eastAsiaTheme="majorEastAsia" w:cstheme="majorBidi"/>
      <w:i/>
      <w:iCs/>
      <w:color w:val="595959" w:themeColor="text1" w:themeTint="A6"/>
    </w:rPr>
  </w:style>
  <w:style w:type="character" w:customStyle="1" w:styleId="70">
    <w:name w:val="כותרת 7 תו"/>
    <w:basedOn w:val="a0"/>
    <w:link w:val="7"/>
    <w:uiPriority w:val="9"/>
    <w:semiHidden/>
    <w:rsid w:val="006E0416"/>
    <w:rPr>
      <w:rFonts w:eastAsiaTheme="majorEastAsia" w:cstheme="majorBidi"/>
      <w:color w:val="595959" w:themeColor="text1" w:themeTint="A6"/>
    </w:rPr>
  </w:style>
  <w:style w:type="character" w:customStyle="1" w:styleId="80">
    <w:name w:val="כותרת 8 תו"/>
    <w:basedOn w:val="a0"/>
    <w:link w:val="8"/>
    <w:uiPriority w:val="9"/>
    <w:semiHidden/>
    <w:rsid w:val="006E0416"/>
    <w:rPr>
      <w:rFonts w:eastAsiaTheme="majorEastAsia" w:cstheme="majorBidi"/>
      <w:i/>
      <w:iCs/>
      <w:color w:val="272727" w:themeColor="text1" w:themeTint="D8"/>
    </w:rPr>
  </w:style>
  <w:style w:type="character" w:customStyle="1" w:styleId="90">
    <w:name w:val="כותרת 9 תו"/>
    <w:basedOn w:val="a0"/>
    <w:link w:val="9"/>
    <w:uiPriority w:val="9"/>
    <w:semiHidden/>
    <w:rsid w:val="006E0416"/>
    <w:rPr>
      <w:rFonts w:eastAsiaTheme="majorEastAsia" w:cstheme="majorBidi"/>
      <w:color w:val="272727" w:themeColor="text1" w:themeTint="D8"/>
    </w:rPr>
  </w:style>
  <w:style w:type="paragraph" w:styleId="a3">
    <w:name w:val="Title"/>
    <w:basedOn w:val="a"/>
    <w:next w:val="a"/>
    <w:link w:val="a4"/>
    <w:uiPriority w:val="10"/>
    <w:qFormat/>
    <w:rsid w:val="006E0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E04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041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E041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E0416"/>
    <w:pPr>
      <w:spacing w:before="160"/>
      <w:jc w:val="center"/>
    </w:pPr>
    <w:rPr>
      <w:i/>
      <w:iCs/>
      <w:color w:val="404040" w:themeColor="text1" w:themeTint="BF"/>
    </w:rPr>
  </w:style>
  <w:style w:type="character" w:customStyle="1" w:styleId="a8">
    <w:name w:val="ציטוט תו"/>
    <w:basedOn w:val="a0"/>
    <w:link w:val="a7"/>
    <w:uiPriority w:val="29"/>
    <w:rsid w:val="006E0416"/>
    <w:rPr>
      <w:i/>
      <w:iCs/>
      <w:color w:val="404040" w:themeColor="text1" w:themeTint="BF"/>
    </w:rPr>
  </w:style>
  <w:style w:type="paragraph" w:styleId="a9">
    <w:name w:val="List Paragraph"/>
    <w:basedOn w:val="a"/>
    <w:uiPriority w:val="34"/>
    <w:qFormat/>
    <w:rsid w:val="006E0416"/>
    <w:pPr>
      <w:ind w:left="720"/>
      <w:contextualSpacing/>
    </w:pPr>
  </w:style>
  <w:style w:type="character" w:styleId="aa">
    <w:name w:val="Intense Emphasis"/>
    <w:basedOn w:val="a0"/>
    <w:uiPriority w:val="21"/>
    <w:qFormat/>
    <w:rsid w:val="006E0416"/>
    <w:rPr>
      <w:i/>
      <w:iCs/>
      <w:color w:val="0F4761" w:themeColor="accent1" w:themeShade="BF"/>
    </w:rPr>
  </w:style>
  <w:style w:type="paragraph" w:styleId="ab">
    <w:name w:val="Intense Quote"/>
    <w:basedOn w:val="a"/>
    <w:next w:val="a"/>
    <w:link w:val="ac"/>
    <w:uiPriority w:val="30"/>
    <w:qFormat/>
    <w:rsid w:val="006E0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E0416"/>
    <w:rPr>
      <w:i/>
      <w:iCs/>
      <w:color w:val="0F4761" w:themeColor="accent1" w:themeShade="BF"/>
    </w:rPr>
  </w:style>
  <w:style w:type="character" w:styleId="ad">
    <w:name w:val="Intense Reference"/>
    <w:basedOn w:val="a0"/>
    <w:uiPriority w:val="32"/>
    <w:qFormat/>
    <w:rsid w:val="006E04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374</Words>
  <Characters>1874</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