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07C8" w:rsidRPr="00863CCE" w:rsidRDefault="005207C8"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קשה רימה למת כמחט בבשר החי</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"קשה רימה למת כמחט בבשר החי:ערך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5207C8" w:rsidRPr="00863CCE" w:rsidRDefault="005207C8" w:rsidP="00863CCE">
      <w:pPr>
        <w:spacing w:after="0" w:line="360" w:lineRule="auto"/>
        <w:jc w:val="both"/>
        <w:rPr>
          <w:rFonts w:ascii="Times New Roman" w:eastAsia="Times New Roman" w:hAnsi="Times New Roman" w:cs="David"/>
          <w:sz w:val="20"/>
          <w:szCs w:val="20"/>
          <w:rtl/>
          <w:lang w:eastAsia="he-IL"/>
          <w14:ligatures w14:val="none"/>
        </w:rPr>
      </w:pPr>
      <w:r w:rsidRPr="00863CCE">
        <w:rPr>
          <w:rFonts w:ascii="Keren" w:eastAsia="Times New Roman" w:hAnsi="Keren" w:cs="David"/>
          <w:sz w:val="28"/>
          <w:szCs w:val="20"/>
          <w:rtl/>
          <w:lang w:eastAsia="he-IL"/>
          <w14:ligatures w14:val="none"/>
        </w:rPr>
        <w:t>המקור לביטוי הוא בגמרא (מסכת ברכות יח, ב, ובמסכת שבת יג, ב, ושם קנב, א), בהקשר לשאלה האם המתים יודעים על החיים</w:t>
      </w:r>
      <w:r w:rsidRPr="00863CCE">
        <w:rPr>
          <w:rFonts w:ascii="Keren" w:eastAsia="Times New Roman" w:hAnsi="Keren" w:cs="David"/>
          <w:sz w:val="20"/>
          <w:szCs w:val="20"/>
          <w:rtl/>
          <w:lang w:eastAsia="he-IL"/>
          <w14:ligatures w14:val="none"/>
        </w:rPr>
        <w:t>. הביטוי בא לתאר את הקושי של הנפש בהתפרקות הגוף הגשמי.</w:t>
      </w:r>
    </w:p>
    <w:p w:rsidR="005207C8" w:rsidRPr="00863CCE" w:rsidRDefault="005207C8" w:rsidP="00863CCE">
      <w:pPr>
        <w:autoSpaceDE w:val="0"/>
        <w:autoSpaceDN w:val="0"/>
        <w:adjustRightInd w:val="0"/>
        <w:spacing w:after="0" w:line="360" w:lineRule="auto"/>
        <w:ind w:left="399"/>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 xml:space="preserve">שחיבוב קבורת המת... על דרך מדה טובה והוא שישא אדם פנים למי שנהנה ממנו, כמו שבא בתורה ללמד מדה טובה </w:t>
      </w:r>
      <w:r w:rsidRPr="00863CCE">
        <w:rPr>
          <w:rFonts w:ascii="Times New Roman" w:eastAsia="Times New Roman" w:hAnsi="Times New Roman" w:cs="David"/>
          <w:sz w:val="20"/>
          <w:szCs w:val="20"/>
          <w:rtl/>
          <w14:ligatures w14:val="none"/>
        </w:rPr>
        <w:t>"לֹא תְתַעֵב מִצְרִי כִּי גֵר הָיִיתָ בְאַרְצוֹ"</w:t>
      </w:r>
      <w:r w:rsidRPr="00863CCE">
        <w:rPr>
          <w:rFonts w:ascii="Keren" w:eastAsia="Times New Roman" w:hAnsi="Keren" w:cs="David"/>
          <w:sz w:val="18"/>
          <w:szCs w:val="20"/>
          <w:rtl/>
          <w:lang w:eastAsia="he-IL"/>
          <w14:ligatures w14:val="none"/>
        </w:rPr>
        <w:t xml:space="preserve"> (דברים כג, ח), וכן ראוי שלא יתועב הגוף אחר שהנפש גרה בו. הלא תראה האדם כשיחרב ביתו, יחמול עליו ולבו יכאב אם יהיה למחראות, וכן קשה לנפש כשתראה הגוף מתבזה ועל דרך זו אמרו "קשה רימה למת כמחט בבשר חי", והדמיון הזה דמיון במציאות הקושי לא בדמותו (ספר כלבו סימן קיד, דיבור המתחיל כתב הבעל).</w:t>
      </w:r>
    </w:p>
    <w:p w:rsidR="005207C8" w:rsidRPr="00863CCE" w:rsidRDefault="005207C8" w:rsidP="00863CCE">
      <w:pPr>
        <w:autoSpaceDE w:val="0"/>
        <w:autoSpaceDN w:val="0"/>
        <w:adjustRightInd w:val="0"/>
        <w:spacing w:after="0" w:line="360" w:lineRule="auto"/>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"נפטר:לזרז את עיכול הבשר"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18"/>
          <w:szCs w:val="20"/>
          <w:rtl/>
          <w:lang w:eastAsia="he-IL"/>
          <w14:ligatures w14:val="none"/>
        </w:rPr>
        <w:fldChar w:fldCharType="end"/>
      </w:r>
      <w:r w:rsidRPr="00863CCE">
        <w:rPr>
          <w:rFonts w:ascii="Keren" w:eastAsia="Times New Roman" w:hAnsi="Keren" w:cs="David"/>
          <w:sz w:val="18"/>
          <w:szCs w:val="20"/>
          <w:rtl/>
          <w:lang w:eastAsia="he-IL"/>
          <w14:ligatures w14:val="none"/>
        </w:rPr>
        <w:t>הרדב"ז (שאלות ותשובות חלק א, תפד) הזכיר עיקרון זה בהתייחסו לשאלה האם מותר לבצע פעולות שיזרזו את עיכול הבשר, והאם נגרם כתוצאה מכך צער לנפטר. מסקנתו היא שכל דבר שנעשה לכבוד הנפטר או לתועלתו מותר, ואין בו משום צער או ביזיון לנפטר. אך אין להתחכם ולזרז תהליכים כאלו, ותמים תהיה עם ה' אלקיך. הרב עובדיה יוסף (יביע אומר חלק ג, יורה דעה סימן כג) מזכיר עניין זה בדיון על שימוש בקרנית עין ממת. ומוכיח מהביטוי, שהצער הוא לנפשו של המת ולא לגופו. וכן פסק למעשה להתיר לשים סיד כדי לזרז את עיכול הבשר, כדי לאפשר את העברתו לקבר אבותיו (סימן נב, יז).</w:t>
      </w:r>
    </w:p>
    <w:p w:rsidR="00D5072B" w:rsidRDefault="005207C8">
      <w:r w:rsidRPr="00863CCE">
        <w:rPr>
          <w:rFonts w:ascii="Keren" w:eastAsia="Times New Roman" w:hAnsi="Keren" w:cs="David"/>
          <w:sz w:val="28"/>
          <w:szCs w:val="20"/>
          <w:rtl/>
          <w:lang w:eastAsia="he-IL"/>
          <w14:ligatures w14:val="none"/>
        </w:rPr>
        <w:t xml:space="preserve">ע"ע </w:t>
      </w:r>
      <w:r w:rsidRPr="00863CCE">
        <w:rPr>
          <w:rFonts w:ascii="Keren" w:eastAsia="Times New Roman" w:hAnsi="Keren" w:cs="David"/>
          <w:b/>
          <w:bCs/>
          <w:sz w:val="28"/>
          <w:szCs w:val="20"/>
          <w:rtl/>
          <w:lang w:eastAsia="he-IL"/>
          <w14:ligatures w14:val="none"/>
        </w:rPr>
        <w:t>והמתים אינם יודעים מאומה. תחיית המתים.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7C8"/>
    <w:rsid w:val="000D0A23"/>
    <w:rsid w:val="002C1211"/>
    <w:rsid w:val="005207C8"/>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A80BC3-C7FD-480D-8D8B-1CDE43BCC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20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20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207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207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207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207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07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07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07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207C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207C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207C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207C8"/>
    <w:rPr>
      <w:rFonts w:eastAsiaTheme="majorEastAsia" w:cstheme="majorBidi"/>
      <w:i/>
      <w:iCs/>
      <w:color w:val="0F4761" w:themeColor="accent1" w:themeShade="BF"/>
    </w:rPr>
  </w:style>
  <w:style w:type="character" w:customStyle="1" w:styleId="50">
    <w:name w:val="כותרת 5 תו"/>
    <w:basedOn w:val="a0"/>
    <w:link w:val="5"/>
    <w:uiPriority w:val="9"/>
    <w:semiHidden/>
    <w:rsid w:val="005207C8"/>
    <w:rPr>
      <w:rFonts w:eastAsiaTheme="majorEastAsia" w:cstheme="majorBidi"/>
      <w:color w:val="0F4761" w:themeColor="accent1" w:themeShade="BF"/>
    </w:rPr>
  </w:style>
  <w:style w:type="character" w:customStyle="1" w:styleId="60">
    <w:name w:val="כותרת 6 תו"/>
    <w:basedOn w:val="a0"/>
    <w:link w:val="6"/>
    <w:uiPriority w:val="9"/>
    <w:semiHidden/>
    <w:rsid w:val="005207C8"/>
    <w:rPr>
      <w:rFonts w:eastAsiaTheme="majorEastAsia" w:cstheme="majorBidi"/>
      <w:i/>
      <w:iCs/>
      <w:color w:val="595959" w:themeColor="text1" w:themeTint="A6"/>
    </w:rPr>
  </w:style>
  <w:style w:type="character" w:customStyle="1" w:styleId="70">
    <w:name w:val="כותרת 7 תו"/>
    <w:basedOn w:val="a0"/>
    <w:link w:val="7"/>
    <w:uiPriority w:val="9"/>
    <w:semiHidden/>
    <w:rsid w:val="005207C8"/>
    <w:rPr>
      <w:rFonts w:eastAsiaTheme="majorEastAsia" w:cstheme="majorBidi"/>
      <w:color w:val="595959" w:themeColor="text1" w:themeTint="A6"/>
    </w:rPr>
  </w:style>
  <w:style w:type="character" w:customStyle="1" w:styleId="80">
    <w:name w:val="כותרת 8 תו"/>
    <w:basedOn w:val="a0"/>
    <w:link w:val="8"/>
    <w:uiPriority w:val="9"/>
    <w:semiHidden/>
    <w:rsid w:val="005207C8"/>
    <w:rPr>
      <w:rFonts w:eastAsiaTheme="majorEastAsia" w:cstheme="majorBidi"/>
      <w:i/>
      <w:iCs/>
      <w:color w:val="272727" w:themeColor="text1" w:themeTint="D8"/>
    </w:rPr>
  </w:style>
  <w:style w:type="character" w:customStyle="1" w:styleId="90">
    <w:name w:val="כותרת 9 תו"/>
    <w:basedOn w:val="a0"/>
    <w:link w:val="9"/>
    <w:uiPriority w:val="9"/>
    <w:semiHidden/>
    <w:rsid w:val="005207C8"/>
    <w:rPr>
      <w:rFonts w:eastAsiaTheme="majorEastAsia" w:cstheme="majorBidi"/>
      <w:color w:val="272727" w:themeColor="text1" w:themeTint="D8"/>
    </w:rPr>
  </w:style>
  <w:style w:type="paragraph" w:styleId="a3">
    <w:name w:val="Title"/>
    <w:basedOn w:val="a"/>
    <w:next w:val="a"/>
    <w:link w:val="a4"/>
    <w:uiPriority w:val="10"/>
    <w:qFormat/>
    <w:rsid w:val="00520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207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7C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207C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207C8"/>
    <w:pPr>
      <w:spacing w:before="160"/>
      <w:jc w:val="center"/>
    </w:pPr>
    <w:rPr>
      <w:i/>
      <w:iCs/>
      <w:color w:val="404040" w:themeColor="text1" w:themeTint="BF"/>
    </w:rPr>
  </w:style>
  <w:style w:type="character" w:customStyle="1" w:styleId="a8">
    <w:name w:val="ציטוט תו"/>
    <w:basedOn w:val="a0"/>
    <w:link w:val="a7"/>
    <w:uiPriority w:val="29"/>
    <w:rsid w:val="005207C8"/>
    <w:rPr>
      <w:i/>
      <w:iCs/>
      <w:color w:val="404040" w:themeColor="text1" w:themeTint="BF"/>
    </w:rPr>
  </w:style>
  <w:style w:type="paragraph" w:styleId="a9">
    <w:name w:val="List Paragraph"/>
    <w:basedOn w:val="a"/>
    <w:uiPriority w:val="34"/>
    <w:qFormat/>
    <w:rsid w:val="005207C8"/>
    <w:pPr>
      <w:ind w:left="720"/>
      <w:contextualSpacing/>
    </w:pPr>
  </w:style>
  <w:style w:type="character" w:styleId="aa">
    <w:name w:val="Intense Emphasis"/>
    <w:basedOn w:val="a0"/>
    <w:uiPriority w:val="21"/>
    <w:qFormat/>
    <w:rsid w:val="005207C8"/>
    <w:rPr>
      <w:i/>
      <w:iCs/>
      <w:color w:val="0F4761" w:themeColor="accent1" w:themeShade="BF"/>
    </w:rPr>
  </w:style>
  <w:style w:type="paragraph" w:styleId="ab">
    <w:name w:val="Intense Quote"/>
    <w:basedOn w:val="a"/>
    <w:next w:val="a"/>
    <w:link w:val="ac"/>
    <w:uiPriority w:val="30"/>
    <w:qFormat/>
    <w:rsid w:val="00520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207C8"/>
    <w:rPr>
      <w:i/>
      <w:iCs/>
      <w:color w:val="0F4761" w:themeColor="accent1" w:themeShade="BF"/>
    </w:rPr>
  </w:style>
  <w:style w:type="character" w:styleId="ad">
    <w:name w:val="Intense Reference"/>
    <w:basedOn w:val="a0"/>
    <w:uiPriority w:val="32"/>
    <w:qFormat/>
    <w:rsid w:val="00520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1075</Characters>
  <Application>Microsoft Office Word</Application>
  <DocSecurity>0</DocSecurity>
  <Lines>8</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